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5a817b2b58248d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32947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SLATINA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8.713.023,01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10.671.408,78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7.346.570,36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9.336.598,40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1.366.452,65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1.334.810,38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163.247,72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1.205.506,07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3.818.556,23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1.185.614,16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3.655.308,51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1.539.705,35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i primitaka tekuće godine iznosi </w:t>
      </w:r>
      <w:r>
        <w:rPr>
          <w:b/>
        </w:rPr>
        <w:t xml:space="preserve">1.539.705,35</w:t>
      </w:r>
      <w:r>
        <w:t xml:space="preserve">  eura, a nastao je kao rezultat viška prihoda poslovanja u iznosu od 1.334.810,38 eura, manjka prihoda od nefinancijske imovine u iznosu od 3.655.308,51 euro i viška prihoda i primitaka od financijske imovine i zaduživanja u iznosu od 780.792,78 eura.</w:t>
      </w:r>
    </w:p>
    <w:p>
      <w:r>
        <w:t xml:space="preserve">Preneseni manjak prihoda i primitaka iznosi 205.272,32 eura, a nastao je kao rezultat prenesenog manjka prihoda poslovanja u iznosu od 645.916,13 eura, viška prihoda od financijske imovine u iznosu od 134.768,84 eura i prenesenog viška primitaka od financijske imovine u iznosu od 305.874,97 eura.</w:t>
      </w:r>
    </w:p>
    <w:p>
      <w:r>
        <w:t xml:space="preserve">Manjak prihoda i primitaka za prijenos u narednu godinu iznosi </w:t>
      </w:r>
      <w:r>
        <w:rPr>
          <w:b/>
        </w:rPr>
        <w:t xml:space="preserve">1.744.977,67</w:t>
      </w:r>
      <w:r>
        <w:t xml:space="preserve"> eura, a nastao je kao rezultat prenesenog manjka prihoda i primitaka u iznosu od 205.272,32 eura i manjka prihoda i primitaka tekuće godine u iznosu od 1.539.705,35 eura.</w:t>
      </w:r>
    </w:p>
    <w:p>
      <w:r>
        <w:t xml:space="preserve">Manjak prihoda i primitaka u prošloj godini iznosio je 159.105,32, a manjak prihoda i primitaka preneseni u ovom izvještajnom razdoblju iznosi 205.272,32 eura. Razliku od 46.167,00 eura čini povrat sredstava za raskid Ugovora o kupoprodaji zemlje sa tvrtkom Slavonica d.o.o.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3.389.843,75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3.984.036,21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Porez na dohodak od nesamostalnog rada bilježi povećanje od 17,5%, a rezultat je povećanja prihoda od poreza za samostalne djelatnosti, poreza na dohodak od kapitala i poreza na dohodak po godišnjoj prijavi te smanjenja poreza na dohodak od imovine i imovinskih prava i povećanja povrata poreza na dohodak po godišnjoj prijavi.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255.002,41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151.159,04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w:t>
            </w:r>
          </w:p>
        </w:tc>
      </w:tr>
    </w:tbl>
    <w:p>
      <w:pPr>
        <w:spacing w:before="0" w:after="0"/>
      </w:pPr>
    </w:p>
    <w:p>
      <w:r>
        <w:t xml:space="preserve">Povremeni porezi na imovinu bilježe smanjenje za 40,7%, a čini ih porez na promet nekretnina.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458.367,59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324.327,18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w:t>
            </w:r>
          </w:p>
        </w:tc>
      </w:tr>
    </w:tbl>
    <w:p>
      <w:pPr>
        <w:spacing w:before="0" w:after="0"/>
      </w:pPr>
    </w:p>
    <w:p>
      <w:r>
        <w:t xml:space="preserve">Tekuće pomoći proračunu i izvanproračunskim korisnicima iz drugih proračuna bilježe pad od 87%, a čine ih pomoći od Ministarstva kulture i medija za Međunarodni festival Dani M. Kelemena u iznosu od 10.767,45 eura, pomoći od Ministarstva rada i mirovinskog sustava za Projekt Slatino zaželi u iznosu od 59.590,84 eura, tekuće pomoći iz Državnog proračuna za ublažavanje posljedica elementarne nepogode u iznosu od 154.921,25 eura, tekuće pomoći od Ministarstva demografije i useljeništva za Projekt uređenja "Malog parka" u iznosu od 49.011,67 eura, pomoći od Virovitičko-podravske županije za održavanje lokalnih izbora u iznosu od 12.416,36 eura i pomoći Virovitičko-podravske županije za predsjedničke izbore u iznosu od 37.619,61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335.055,93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w:t>
            </w:r>
          </w:p>
        </w:tc>
      </w:tr>
    </w:tbl>
    <w:p>
      <w:pPr>
        <w:spacing w:before="0" w:after="0"/>
      </w:pPr>
    </w:p>
    <w:p>
      <w:r>
        <w:t xml:space="preserve">Kapitalne pomoći bilježe pad za 57,5%, a čine ih pomoći od Ministarstva graditeljstva i prostornog uređenja za izgradnju javne rasvjete u Gornjem gradu u iznosu od 96.000,00 eura i pomoći za rekonstrukciju Ulice Mirna I u iznosu od 46.400,00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197,2</w:t>
            </w:r>
          </w:p>
        </w:tc>
      </w:tr>
    </w:tbl>
    <w:p>
      <w:pPr>
        <w:spacing w:before="0" w:after="0"/>
      </w:pPr>
    </w:p>
    <w:p>
      <w:r>
        <w:t xml:space="preserve">Tekuće pomoći od izvanproračunskih korisnika bilježe rast od 97,2%, a čine ih pomoći od Hrvatskog zavoda za zapošljavanje za zapošljavanje djelatnika u javnom radu u iznosu od 27.809,45 eura i pomoći od Fonda za zaštitu okoliša za izobrazne aktivnosti u iznosu od 2.085,41 euro.</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133.065,86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829,2</w:t>
            </w:r>
          </w:p>
        </w:tc>
      </w:tr>
    </w:tbl>
    <w:p>
      <w:pPr>
        <w:spacing w:before="0" w:after="0"/>
      </w:pPr>
    </w:p>
    <w:p>
      <w:r>
        <w:t xml:space="preserve">Kapitalne pomoći od izvanproračunskih korisnika veće su 729,2%, a čine ih pomoći Fonda za zaštitu okoliša i energetsku učinkovitost za sanaciju odlagališta otpada Radosavci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2.031.316,40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2.555.139,43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bl>
    <w:p>
      <w:pPr>
        <w:spacing w:before="0" w:after="0"/>
      </w:pPr>
    </w:p>
    <w:p>
      <w:r>
        <w:t xml:space="preserve">Pomoći fiskalnog izravnanja veće su za 25,8%, a čine ih pomoći fiskalnog izravnanja Grada u iznosu od 2.096.259,43 eura, pomoći fiskalnog izravnanja Dječjeg vrtića "Zeko" u iznosu od 395.904,00 eura i pomoći fiskalnog izravnanja Dječjeg vrtića "Suncokret" u iznosu od 62.976,00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182.341,67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337.681,47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w:t>
            </w:r>
          </w:p>
        </w:tc>
      </w:tr>
    </w:tbl>
    <w:p>
      <w:pPr>
        <w:spacing w:before="0" w:after="0"/>
      </w:pPr>
    </w:p>
    <w:p>
      <w:r>
        <w:t xml:space="preserve">Tekuće pomoći temeljem prijenosa EU sredstava veće su 85,2%, a čine ih pomoći Ministarstva rada i mirovinskog sustava za Projekt "Slatino zaželi"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312.358,34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1.466.478,25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w:t>
            </w:r>
          </w:p>
        </w:tc>
      </w:tr>
    </w:tbl>
    <w:p>
      <w:pPr>
        <w:spacing w:before="0" w:after="0"/>
      </w:pPr>
    </w:p>
    <w:p>
      <w:r>
        <w:t xml:space="preserve">Kapitalne pomoći temeljem EU sredstava veće su 369,5%, a čine ih EU sredstva za izgradnju Reciklažnog dvorišta u iznosu od 464.918,96 eura,  pomoći Ministarstva znanosti i obrazovanja za izgradnju Područnog dječjeg vrtića u iznosu od 955.562,03 eura, EU sredstva za Projekt "Zamisli muzej za sve" u iznosu od 32.724,99 eura i pomoći od Ministarstva prostornog uređenja, graditeljstva i državne imovine za Strategiju zelene urbane obnove u iznosu od 13.272,27 eura.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42.487,42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w:t>
            </w:r>
          </w:p>
        </w:tc>
      </w:tr>
    </w:tbl>
    <w:p>
      <w:pPr>
        <w:spacing w:before="0" w:after="0"/>
      </w:pPr>
    </w:p>
    <w:p>
      <w:r>
        <w:t xml:space="preserve">Naknade za koncesije manje su 31,6%, a čine ih koncesije za poljoprivredno zemljište u vlasništvu RH, koncesije za korištenje općeg dobra i koncesija za dimnjačarske usluge.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104.075,39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88.826,21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w:t>
            </w:r>
          </w:p>
        </w:tc>
      </w:tr>
    </w:tbl>
    <w:p>
      <w:pPr>
        <w:spacing w:before="0" w:after="0"/>
      </w:pPr>
    </w:p>
    <w:p>
      <w:r>
        <w:t xml:space="preserve">Prihodi od zakupa i iznajmljivanja imovine manji su 14,7%, a čine ih prihodi od zakupa zemljišta, najma stanova, poslovnih objekata i garaža.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194,9</w:t>
            </w:r>
          </w:p>
        </w:tc>
      </w:tr>
    </w:tbl>
    <w:p>
      <w:pPr>
        <w:spacing w:before="0" w:after="0"/>
      </w:pPr>
    </w:p>
    <w:p>
      <w:r>
        <w:t xml:space="preserve">Naknada za korištenje nefinancijske imovine veća je 94,9%, a čine ju prihodi od spomeničke rente, naknade za korištenje javne površine i naknade za pravo služnosti na građevinskom zemljištu.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w:t>
            </w:r>
          </w:p>
        </w:tc>
      </w:tr>
    </w:tbl>
    <w:p>
      <w:pPr>
        <w:spacing w:before="0" w:after="0"/>
      </w:pPr>
    </w:p>
    <w:p>
      <w:r>
        <w:t xml:space="preserve">Ostali prihodi od nefinancijske imovine manji su 64,6%, a čine ih naknada za nezakonito izgrađene građevine.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upravne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421,6</w:t>
            </w:r>
          </w:p>
        </w:tc>
      </w:tr>
    </w:tbl>
    <w:p>
      <w:pPr>
        <w:spacing w:before="0" w:after="0"/>
      </w:pPr>
    </w:p>
    <w:p>
      <w:r>
        <w:t xml:space="preserve">Ostale pristojbe i naknade veće su 321,6%, a čine ih prihodi od prodaje državnih biljega.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državne uprave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w:t>
            </w:r>
          </w:p>
        </w:tc>
      </w:tr>
    </w:tbl>
    <w:p>
      <w:pPr>
        <w:spacing w:before="0" w:after="0"/>
      </w:pPr>
    </w:p>
    <w:p>
      <w:r>
        <w:t xml:space="preserve">Prihodi državne uprave manji su 98,6%, a čine ih prihodi od naknade za promjenu namjene zemljišta.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vodnog gospodarstva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w:t>
            </w:r>
          </w:p>
        </w:tc>
      </w:tr>
    </w:tbl>
    <w:p>
      <w:pPr>
        <w:spacing w:before="0" w:after="0"/>
      </w:pPr>
    </w:p>
    <w:p>
      <w:r>
        <w:t xml:space="preserve">Prihodi vodnog gospodarstva manji su 97%, a čine ih prihodi od vodnog doprinosa.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139.229,92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200.933,61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w:t>
            </w:r>
          </w:p>
        </w:tc>
      </w:tr>
    </w:tbl>
    <w:p>
      <w:pPr>
        <w:spacing w:before="0" w:after="0"/>
      </w:pPr>
    </w:p>
    <w:p>
      <w:r>
        <w:t xml:space="preserve">Doprinosi za šume veći su 44,3%.</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w:t>
            </w:r>
          </w:p>
        </w:tc>
      </w:tr>
    </w:tbl>
    <w:p>
      <w:pPr>
        <w:spacing w:before="0" w:after="0"/>
      </w:pPr>
    </w:p>
    <w:p>
      <w:r>
        <w:t xml:space="preserve">Ostali nespomenuti prihodi veći su 27,4%, a čine ih prihodi od refundacije materijalnih troškova korisnika gradskih prostora, prihodi od naknada šteta na gradskoj imovini od osiguravajućih društava, refundacije stipendija i prihodi od ošasne imovine.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w:t>
            </w:r>
          </w:p>
        </w:tc>
      </w:tr>
    </w:tbl>
    <w:p>
      <w:pPr>
        <w:spacing w:before="0" w:after="0"/>
      </w:pPr>
    </w:p>
    <w:p>
      <w:r>
        <w:t xml:space="preserve">Komunalni doprinosi manji su za 36,2% zbog manje izdanih rješenja za naplatu komunalnog doprinosa.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534.989,33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596.228,92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Komunalne naknade veće su 11,4% zbog bolje naplate komunalne naknade.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36.106,10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40.921,43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Prihodi od pruženih usluga veći su 13,3%, a čine ih prihodi od Hrvatskih voda za pruženu uslugu naplate naknade za uređenje voda.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kazne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w:t>
            </w:r>
          </w:p>
        </w:tc>
      </w:tr>
    </w:tbl>
    <w:p>
      <w:pPr>
        <w:spacing w:before="0" w:after="0"/>
      </w:pPr>
    </w:p>
    <w:p>
      <w:r>
        <w:t xml:space="preserve">Ostale kazne veće su 108,4%, a čine ih kazne koje izriče komunalni redar i troškovi ovrhe.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329,2</w:t>
            </w:r>
          </w:p>
        </w:tc>
      </w:tr>
    </w:tbl>
    <w:p>
      <w:pPr>
        <w:spacing w:before="0" w:after="0"/>
      </w:pPr>
    </w:p>
    <w:p>
      <w:r>
        <w:t xml:space="preserve">Ostali prihodi veći su 229,2%, a čine ih prihodi od naplate kazni za odlaganje otpada i parkiranje na javnoj površini, povrati sredstava i naplata troškova po sudskom rješenju.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782.427,00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1.181.877,53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w:t>
            </w:r>
          </w:p>
        </w:tc>
      </w:tr>
    </w:tbl>
    <w:p>
      <w:pPr>
        <w:spacing w:before="0" w:after="0"/>
      </w:pPr>
    </w:p>
    <w:p>
      <w:r>
        <w:t xml:space="preserve">Plaće za redovan rad bilježe porast za 51,1%, a rezultat su povećanja broja zaposlenih i rasta plaća.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w:t>
            </w:r>
          </w:p>
        </w:tc>
      </w:tr>
    </w:tbl>
    <w:p>
      <w:pPr>
        <w:spacing w:before="0" w:after="0"/>
      </w:pPr>
    </w:p>
    <w:p>
      <w:r>
        <w:t xml:space="preserve">Plaće za prekovremeni rad bilježe pad 31,3% zbog manjih potreba za prekovremenim radom.</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87.118,68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128.955,55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w:t>
            </w:r>
          </w:p>
        </w:tc>
      </w:tr>
    </w:tbl>
    <w:p>
      <w:pPr>
        <w:spacing w:before="0" w:after="0"/>
      </w:pPr>
    </w:p>
    <w:p>
      <w:r>
        <w:t xml:space="preserve">Ostali rashodi za zaposlene bilježe rast od 48%, a čine ih bonus za uspješan rad, jubilarne nagrade, regres za godišnji odmor, božićnica, uskrsnica, darovi po Kolektivnom ugovoru, darovi djeci zaposlenika, otpremnine, naknade za bolest, invalidnost i smrtni slučaj, regres za godišnji odmor, isplate za neiskorišteni godišnji odmor, troškovi prehrane radnika i potpore za novorođenče.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195.372,77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w:t>
            </w:r>
          </w:p>
        </w:tc>
      </w:tr>
    </w:tbl>
    <w:p>
      <w:pPr>
        <w:spacing w:before="0" w:after="0"/>
      </w:pPr>
    </w:p>
    <w:p>
      <w:r>
        <w:t xml:space="preserve">Doprinosi za obvezno zdravstveno osiguranje, prate isplate plaća te su isplaćeni u skladu sa zakonskim propisima.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w:t>
            </w:r>
          </w:p>
        </w:tc>
      </w:tr>
    </w:tbl>
    <w:p>
      <w:pPr>
        <w:spacing w:before="0" w:after="0"/>
      </w:pPr>
    </w:p>
    <w:p>
      <w:r>
        <w:t xml:space="preserve">Službena putovanja bilježe pad za 54,9% zbog manjeg broja službenih putovanja.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w:t>
            </w:r>
          </w:p>
        </w:tc>
      </w:tr>
    </w:tbl>
    <w:p>
      <w:pPr>
        <w:spacing w:before="0" w:after="0"/>
      </w:pPr>
    </w:p>
    <w:p>
      <w:r>
        <w:t xml:space="preserve">Stručno usavršavanje zaposlenika bilježi pad za 22,8% zbog manjih potreba za stručnim usavršavanjem.</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28.684,43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56.089,29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w:t>
            </w:r>
          </w:p>
        </w:tc>
      </w:tr>
    </w:tbl>
    <w:p>
      <w:pPr>
        <w:spacing w:before="0" w:after="0"/>
      </w:pPr>
    </w:p>
    <w:p>
      <w:r>
        <w:t xml:space="preserve">Uredski materijal i ostali materijalni rashodi bilježe rast za 95,5%, zbog više nabava uredskog materijala, rasta cijena i nabave didaktičke opreme za dječji vrtić "Zeko" u iznosu od 21.411,58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2918,7</w:t>
            </w:r>
          </w:p>
        </w:tc>
      </w:tr>
    </w:tbl>
    <w:p>
      <w:pPr>
        <w:spacing w:before="0" w:after="0"/>
      </w:pPr>
    </w:p>
    <w:p>
      <w:r>
        <w:t xml:space="preserve">Materijal i sirovine bilježe rast od 2.818,7%, a čine ih nabave materijala i sirovina potrebnih za rad.</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250.762,41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312.986,31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bl>
    <w:p>
      <w:pPr>
        <w:spacing w:before="0" w:after="0"/>
      </w:pPr>
    </w:p>
    <w:p>
      <w:r>
        <w:t xml:space="preserve">Energija bilježi rast od 24,8%, zbog veće potrošnje električne energije, plina i goriva.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w:t>
            </w:r>
          </w:p>
        </w:tc>
      </w:tr>
    </w:tbl>
    <w:p>
      <w:pPr>
        <w:spacing w:before="0" w:after="0"/>
      </w:pPr>
    </w:p>
    <w:p>
      <w:r>
        <w:t xml:space="preserve">Materijal i dijelovi za tekuće i investicijsko održavanje bilježe pad od 63,8% zbog manje potrebe nabave ove vrste materijala.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w:t>
            </w:r>
          </w:p>
        </w:tc>
      </w:tr>
    </w:tbl>
    <w:p>
      <w:pPr>
        <w:spacing w:before="0" w:after="0"/>
      </w:pPr>
    </w:p>
    <w:p>
      <w:r>
        <w:t xml:space="preserve">Sitan inventar i auto gume bilježe porast od 58,5% zbog nabave novog sitnog inventara i auto guma.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Službena, radna i zaštitna odjeća i obuća bilježe rast od 37,1% zbog većih nabava radne odjeće i obuće.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29.151,93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37.732,46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bl>
    <w:p>
      <w:pPr>
        <w:spacing w:before="0" w:after="0"/>
      </w:pPr>
    </w:p>
    <w:p>
      <w:r>
        <w:t xml:space="preserve">Usluge telefona, interneta, pošte i prijevoza bilježe rast od 29,4% zbog većih troškova telefonskih, internet i poštanskih usluga.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501.344,45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427.304,29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w:t>
            </w:r>
          </w:p>
        </w:tc>
      </w:tr>
    </w:tbl>
    <w:p>
      <w:pPr>
        <w:spacing w:before="0" w:after="0"/>
      </w:pPr>
    </w:p>
    <w:p>
      <w:r>
        <w:t xml:space="preserve">Usluge tekućeg i investicijskog održavanja bilježe pad od 14,8% zbog manjih potreba za tekućim i investicijskim održavanjem.</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108.292,57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126.189,59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bl>
    <w:p>
      <w:pPr>
        <w:spacing w:before="0" w:after="0"/>
      </w:pPr>
    </w:p>
    <w:p>
      <w:r>
        <w:t xml:space="preserve">Usluge promidžbe i informiranja bilježe rast od 16,5%. Najveći dio ove vrste troškova odnosi se na usluge promidžbe i informiranja od Slatinskog informativnog centra d.o.o.</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408.908,97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509.143,59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r>
        <w:t xml:space="preserve">Komunalne usluge bilježe rast od 24,5%, a odnose se na opskrbu vodom, deratizaciju i dezinsekciju, troškove naknade za uređenje voda, uređenje parkova i zelenih površina, higijeničarsku službu, održavanje zelenih površina Posjetiteljskog centra Sequoia, održavanje dječjih igrališta i troškova po programu Male komunalne akcije.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59.765,03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75.540,40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Zakupnine i najamnine bilježe rast od 26,4%, a odnose se na najam opreme, najam prijevoznih sredstava, najam športskih objekata i poslovnog prostora.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39.798,42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34.203,45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w:t>
            </w:r>
          </w:p>
        </w:tc>
      </w:tr>
    </w:tbl>
    <w:p>
      <w:pPr>
        <w:spacing w:before="0" w:after="0"/>
      </w:pPr>
    </w:p>
    <w:p>
      <w:r>
        <w:t xml:space="preserve">Zdravstvene i veterinarske usluge bilježe pad od 14,1%, a čine ih zdravstveni pregledi zaposlenika, veterinarske usluge i sufinanciranje specijalističkih pregleda u Domu zdravlja.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45.836,11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90.655,43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w:t>
            </w:r>
          </w:p>
        </w:tc>
      </w:tr>
    </w:tbl>
    <w:p>
      <w:pPr>
        <w:spacing w:before="0" w:after="0"/>
      </w:pPr>
    </w:p>
    <w:p>
      <w:r>
        <w:t xml:space="preserve">Intelektualne i osobne usluge bilježe rast od 97,8%, a čine ih autorski honorari, Ugovori o djelu, odvjetničke usluge, geodetsko-katastarske usluge, troškovi nadzora i koordinatora za uspostavu Reciklažnog dvorišta te provedba mjera u sustavu civilne zaštite.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30.880,84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47.209,25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w:t>
            </w:r>
          </w:p>
        </w:tc>
      </w:tr>
    </w:tbl>
    <w:p>
      <w:pPr>
        <w:spacing w:before="0" w:after="0"/>
      </w:pPr>
    </w:p>
    <w:p>
      <w:r>
        <w:t xml:space="preserve">Računalne usluge bilježe rast za 52,9%, a čine ih usluge tvrtke Libusoft cicom d.o.o.</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161.729,35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202.235,99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r>
        <w:t xml:space="preserve">Ostale usluge bilježe rast od 25%, a čine ih grafičke usluge, usluge registracije prijevoznih sredstava, čišćenje gradskih ulica, zimska služba, usluge porezne uprave, usluge naplate 1% poreza na dohodak te troškovi prijevoza pokojnika.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w:t>
            </w:r>
          </w:p>
        </w:tc>
      </w:tr>
    </w:tbl>
    <w:p>
      <w:pPr>
        <w:spacing w:before="0" w:after="0"/>
      </w:pPr>
    </w:p>
    <w:p>
      <w:r>
        <w:t xml:space="preserve">Naknade troškova osobama izvan radnog odnosa bilježe pad od 86%, a čine ih službena putovanja dogradonačelnika.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31.277,53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36.390,51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Reprezentacija bilježi rast od 16,3%, a čine ju nabave proizvoda potrebnih za reprezentaciju.</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447.486,18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659.414,33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w:t>
            </w:r>
          </w:p>
        </w:tc>
      </w:tr>
    </w:tbl>
    <w:p>
      <w:pPr>
        <w:spacing w:before="0" w:after="0"/>
      </w:pPr>
    </w:p>
    <w:p>
      <w:r>
        <w:t xml:space="preserve">Ostali nespomenuti rashodi poslovanja bilježe rast od 47,4%, a čine ih troškovi protokola, prigodni i zabavni skupovi, obilježavanje okruglih obljetnica, troškovi Dana grada, ostale gradske svečanosti, doček Nove godine, proslava Dana državnosti, obilježavanje značajnih datuma, manifestacija Dani Milka Kelemena, troškovi lokalnih i predsjedničkih izbora, povrat sredstava Ministarstvu turizma za raskid Ugovora za izgradnju športske dvorane, pokretanje marketinških aktivnosti, troškovi manifestacije Slatinsko ljeto, troškovi manifestacije Prosinac u gradu, troškovi događaja Zbogom školo i troškovi upravljanja Posjetiteljskim centrom Sequoia.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Bankarske usluge i usluge platnog prometa bilježe rast od 13,4%, a čine ih usluge banaka prilikom obavljanja platnog prometa.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w:t>
            </w:r>
          </w:p>
        </w:tc>
      </w:tr>
    </w:tbl>
    <w:p>
      <w:pPr>
        <w:spacing w:before="0" w:after="0"/>
      </w:pPr>
    </w:p>
    <w:p>
      <w:r>
        <w:t xml:space="preserve">Zatezne kamate bilježe pad od 99,9% jer su obveze većinom podmirivane u skladu sa rokovima dospijeća, a pojedini dobavljači nisu obračunavali zatezne kamate za zakašnjele uplate.</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Ostali nespomenuti financijski rashodi bilježe iznos od 5.405,14 eura, a čini ih trošak obrade dugoročnog kredita kod HBOR-a za izgradnju Staroškolskog igrališta i Područnog dječjeg vrtića.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w:t>
            </w:r>
          </w:p>
        </w:tc>
      </w:tr>
    </w:tbl>
    <w:p>
      <w:pPr>
        <w:spacing w:before="0" w:after="0"/>
      </w:pPr>
    </w:p>
    <w:p>
      <w:r>
        <w:t xml:space="preserve">Subvencije trgovačkim društvima u javnom sektoru bilježe rast od 171,6%, a čine ih subvencije trgovačkim društvima Slatinski informativni centar d.o.o. i Komrad d.o.o.</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56.378,89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96.272,97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w:t>
            </w:r>
          </w:p>
        </w:tc>
      </w:tr>
    </w:tbl>
    <w:p>
      <w:pPr>
        <w:spacing w:before="0" w:after="0"/>
      </w:pPr>
    </w:p>
    <w:p>
      <w:r>
        <w:t xml:space="preserve">Subvencije trgovačkim društvima i zadrugama izvan javnog sektora bilježe rast od 70,8%, a čine ih subvencije Dječjem vrtiću Suncokret.</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w:t>
            </w:r>
          </w:p>
        </w:tc>
      </w:tr>
    </w:tbl>
    <w:p>
      <w:pPr>
        <w:spacing w:before="0" w:after="0"/>
      </w:pPr>
    </w:p>
    <w:p>
      <w:r>
        <w:t xml:space="preserve">Tekuće pomoći drugom proračunu i izvanproračunskim korisnicima bilježe pad od 83,8%, a čine ih sufinanciranje plaće djelatnika portira u zgradi Gradske uprave samo za siječanj i veljaču jer je navedeni djelatnik zaposlenik Virovitičko-podravske županije na dugoročnom bolovanju.</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126.757,15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106.590,59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w:t>
            </w:r>
          </w:p>
        </w:tc>
      </w:tr>
    </w:tbl>
    <w:p>
      <w:pPr>
        <w:spacing w:before="0" w:after="0"/>
      </w:pPr>
    </w:p>
    <w:p>
      <w:r>
        <w:t xml:space="preserve">Tekuće pomoći proračunskim korisnicima drugih proračuna bilježi pad od 15,9%, a čine ih pomoći Glazbenoj školi Milka Kelemena, pomoći Veleučilištu u Virovitici, sufinanciranje visokog obrazovanja Sveučilištu J. J. Strossmayera u Osijeku za dislocirani studij predškolskog odgoja, tekuće pomoći OŠ J. Kozarca, E. Kumičića, SŠ M. Marulića i tekuće pomoći Industrijsko obrtničkoj školi.</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90.413,05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1391,0</w:t>
            </w:r>
          </w:p>
        </w:tc>
      </w:tr>
    </w:tbl>
    <w:p>
      <w:pPr>
        <w:spacing w:before="0" w:after="0"/>
      </w:pPr>
    </w:p>
    <w:p>
      <w:r>
        <w:t xml:space="preserve">Kapitalne pomoći proračunskim korisnicima drugih proračuna bilježe rast za 1.291%, a čine ih pomoći SŠ M. Marulića za opremanje glazbenog kabineta, Glazbenoj školi M. Kelemena za uređenje prostora i nabavu instrumenata i Domu zdravlja za nabavu medicinskih uređaja.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2.466.821,81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2.827.149,50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Prijenosi proračunskim korisnicima bilježe rast od 14,6%, a čine ih prijenosi korisnicima za redovan rad.</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34.298,21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w:t>
            </w:r>
          </w:p>
        </w:tc>
      </w:tr>
    </w:tbl>
    <w:p>
      <w:pPr>
        <w:spacing w:before="0" w:after="0"/>
      </w:pPr>
    </w:p>
    <w:p>
      <w:r>
        <w:t xml:space="preserve">Prijenosi korisnicima za nabavu nefinancijske imovine bilježe pad od 8,6%, zbog manjeg ulaganja u dugotrajnu imovinu.</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152.740,10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170.259,84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Naknade građanima i kućanstvima u novcu bilježe rast od 11,5%, a čine ih pomoći obiteljima i kućanstvima, pomoći roditeljima njegovateljima, sufinanciranje nabave prve nekretnine mladim obiteljima, stipendije učenicima i studentima, podmirenje troškova ogrjeva socijalno ugroženim obiteljima, pomoći rodiljama i pomoći udomiteljima.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271.872,82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318.166,82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Naknade građanima i kućanstvima u naravi bilježe rast od 17%, a čine ih sufinanciranje cijene prijevoza učenika, linijskog prijevoza putnika, sufinanciranje smještaja djece u vrtiću u drugim općinama, nabava školskih udžbenika, podmirenje troškova stanovanja socijalno ugroženim obiteljima te božićnica i uskrsnica umirovljenicima.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667.583,55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646.769,12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r>
        <w:t xml:space="preserve">Tekuće donacije čine: donacije nacionalnim manjinama, udrugama građana, političkim strankama, športskim društvima, Zajednici športskih udruga za redovan rad i održavanje, Hrvatskom Crvenom križu, Vatrogasnoj zajednici, Gorskoj službi spašavanja i Turističkoj zajednici.</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51.690,84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100.634,59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w:t>
            </w:r>
          </w:p>
        </w:tc>
      </w:tr>
    </w:tbl>
    <w:p>
      <w:pPr>
        <w:spacing w:before="0" w:after="0"/>
      </w:pPr>
    </w:p>
    <w:p>
      <w:r>
        <w:t xml:space="preserve">Kapitalne donacije bilježe rast od 94,7%, a čine ih kapitalne donacije vjerskim zajednicama, sufinanciranje Vatrogasnog operativnog centra i sufinanciranje opremanja prostora za vatrogasce.</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Naknade šteta pravnim i fizičkim osobama iznose 154.921,25 eura, a odnose se na isplatu naknade za štetu od elementarne nepogode.</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176.368,61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436.924,69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w:t>
            </w:r>
          </w:p>
        </w:tc>
      </w:tr>
    </w:tbl>
    <w:p>
      <w:pPr>
        <w:spacing w:before="0" w:after="0"/>
      </w:pPr>
    </w:p>
    <w:p>
      <w:r>
        <w:t xml:space="preserve">Kapitalne pomoći trgovačkim društvima veće su 147,7%, a čine ih pomoći tvrtki Slatina kom d.o.o. za nabavu spremnika za otpad i pomoći tvrtki Komrad d.o.o. (koja je pripojena tvrtki Virkom d.o.o.) za troškove izvođenja aglomeracije.</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21.808,65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w:t>
            </w:r>
          </w:p>
        </w:tc>
      </w:tr>
    </w:tbl>
    <w:p>
      <w:pPr>
        <w:spacing w:before="0" w:after="0"/>
      </w:pPr>
    </w:p>
    <w:p>
      <w:r>
        <w:t xml:space="preserve">Zemljište bilježi rast od 43,8%, a odnosi se na prodaju poljoprivrednog i građevinskog zemljišta.</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27.239,07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652,2</w:t>
            </w:r>
          </w:p>
        </w:tc>
      </w:tr>
    </w:tbl>
    <w:p>
      <w:pPr>
        <w:spacing w:before="0" w:after="0"/>
      </w:pPr>
    </w:p>
    <w:p>
      <w:r>
        <w:t xml:space="preserve">Stambeni objekti bilježe rast od 552,2%, a odnose se na otkup gradskih stanova i prodaju obiteljske kuće u vlasništvu Grada u iznosu od 24.800,00 eura.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Poslovni objekti bilježe iznos od 114.200,00 eura, a odnose se na prodaju gradske zgrade u središtu grada.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w:t>
            </w:r>
          </w:p>
        </w:tc>
      </w:tr>
    </w:tbl>
    <w:p>
      <w:pPr>
        <w:spacing w:before="0" w:after="0"/>
      </w:pPr>
    </w:p>
    <w:p>
      <w:r>
        <w:t xml:space="preserve">Licence bilježe pad za 42,9%, a čine ih troškovi digitalizacije poslovanja.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52.186,14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1.724.682,63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3304,9</w:t>
            </w:r>
          </w:p>
        </w:tc>
      </w:tr>
    </w:tbl>
    <w:p>
      <w:pPr>
        <w:spacing w:before="0" w:after="0"/>
      </w:pPr>
    </w:p>
    <w:p>
      <w:r>
        <w:t xml:space="preserve">Poslovni objekti bilježe rast ulaganja za 3.204,9%, a čine ih troškovi izgradnje Područnog dječjeg vrtića, projekti TRK-a Javorica i troškovi projektiranja športske dvorane.</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342.205,56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45.378,75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w:t>
            </w:r>
          </w:p>
        </w:tc>
      </w:tr>
    </w:tbl>
    <w:p>
      <w:pPr>
        <w:spacing w:before="0" w:after="0"/>
      </w:pPr>
    </w:p>
    <w:p>
      <w:r>
        <w:t xml:space="preserve">Ceste, željeznice i ostali prometni objekti bilježe pad od 86,7%, a čine ih projekti rekonstrukcije Stublovačke ulice, revitalizacija javnih površina na Trgu sv. Josipa, projekti spoja ulica Stublovačka i Franje Kuhača te projekti spoja ulica Mirna II i Jakova Gotovca.</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498.485,87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1.750.068,90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w:t>
            </w:r>
          </w:p>
        </w:tc>
      </w:tr>
    </w:tbl>
    <w:p>
      <w:pPr>
        <w:spacing w:before="0" w:after="0"/>
      </w:pPr>
    </w:p>
    <w:p>
      <w:r>
        <w:t xml:space="preserve">Ostali građevinski objekti bilježe rast od 251,1%, a čine ih troškovi rekonstrukcije Staroškolskog igrališta, rekonstrukcija javne rasvjete na Šetalištu J. Burgera i u ulicama u Gornjem gradu, rekonstrukcija Odlagališta otpada i izgradnja Reciklažnog dvorišta.</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23.704,24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54.480,20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229,8</w:t>
            </w:r>
          </w:p>
        </w:tc>
      </w:tr>
    </w:tbl>
    <w:p>
      <w:pPr>
        <w:spacing w:before="0" w:after="0"/>
      </w:pPr>
    </w:p>
    <w:p>
      <w:r>
        <w:t xml:space="preserve">Uredska oprema i namještaj bilježi porast od 129,8%, a čine ju računalna i uredska oprema, nabava opreme za Dječji vrtić "Zeko" u iznosu od 26.766,92 eura te oprema za mjesne domove.</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w:t>
            </w:r>
          </w:p>
        </w:tc>
      </w:tr>
    </w:tbl>
    <w:p>
      <w:pPr>
        <w:spacing w:before="0" w:after="0"/>
      </w:pPr>
    </w:p>
    <w:p>
      <w:r>
        <w:t xml:space="preserve">Oprema za održavanje i zaštitu bilježi pad od 44,8%, a čini ju nabava opreme za civilnu zaštitu i nabava opreme za održavanje zelenih površina.</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24.121,49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496,2</w:t>
            </w:r>
          </w:p>
        </w:tc>
      </w:tr>
    </w:tbl>
    <w:p>
      <w:pPr>
        <w:spacing w:before="0" w:after="0"/>
      </w:pPr>
    </w:p>
    <w:p>
      <w:r>
        <w:t xml:space="preserve">Uređaji, strojevi i oprema za ostale namjene bilježi porast od 396,2%, a čini ju oprema javnih površina i nabava novih adventskih kućica.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Višegodišnji nasadi bilježe iznos od 4.829,04 eura, a odnose se na dobivenu šumu kao dio ošasne imovine iza pokojnog Tomislava Prebega.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Ulaganja u računalne programe bilježe iznos od 2.500,00 eura, a odnose se na digitalizaciju usluga.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w:t>
            </w:r>
          </w:p>
        </w:tc>
      </w:tr>
    </w:tbl>
    <w:p>
      <w:pPr>
        <w:spacing w:before="0" w:after="0"/>
      </w:pPr>
    </w:p>
    <w:p>
      <w:r>
        <w:t xml:space="preserve">Umjetnička, literarna i znanstvena djela bilježe rast od 88,4%, a odnose se na izradu Prometne studije i prostorne planove.</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142.716,63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46.872,06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w:t>
            </w:r>
          </w:p>
        </w:tc>
      </w:tr>
    </w:tbl>
    <w:p>
      <w:pPr>
        <w:spacing w:before="0" w:after="0"/>
      </w:pPr>
    </w:p>
    <w:p>
      <w:r>
        <w:t xml:space="preserve">Dodatna ulaganja na građevinskim objektima bilježe smanjenje od 67,2%, a odnose se na ulaganja u zgradu NK Bakić, NK Sladojevci, dom u Sladojevcima i G. Miholjcu i Zgradu Starog kotara.</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Primljeni krediti od kreditnih institucija u javnom sektoru odnose se na dugoročan kredit kod HBOR-a za rekonstrukciju Staroškolskog igrališta i izgradnju Područnog dječjeg vrtića.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4.619.373,94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5.839.995,00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Materijalna imovina - prirodna bogatstva bilježe porast od 26,4% u odnosu na početak godine, a povećanje je nastalo međusobnim povećanjem i smanjenjem vrijednosti. Zemljište bilježi smanjenje zbog isknjiženja prodanih čestica i povećanje zbog novih parcelacija, procjembenih elaborata i usklađenja sa registrom nekretnina.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174.048,70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186.536,20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Nematerijalna imovina bilježi rast od 7,2%, zbog digitalizacije poslovanja.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106.918,39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132.714,97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r>
        <w:t xml:space="preserve">Ispravak vrijednosti nematerijalne proizvedene imovine proveden je u skladu sa zakonskim propisima.</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356.669,04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351.060,79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w:t>
            </w:r>
          </w:p>
        </w:tc>
      </w:tr>
    </w:tbl>
    <w:p>
      <w:pPr>
        <w:spacing w:before="0" w:after="0"/>
      </w:pPr>
    </w:p>
    <w:p>
      <w:r>
        <w:t xml:space="preserve">Stambeni objekti gotovo su na istoj razini kao početkom godine, a promjena se odnosi na povećanje vrijednosti jednog objekta novom procjenom  i smanjenje vrijednosti zbog prodanog stambenog objekta.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12.067.803,67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11.944.641,14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bl>
    <w:p>
      <w:pPr>
        <w:spacing w:before="0" w:after="0"/>
      </w:pPr>
    </w:p>
    <w:p>
      <w:r>
        <w:t xml:space="preserve">Poslovni objekti bilježe neznatan pad, a rezultat su novih ulaganja u projektnu dokumentaciju za obnovu zgrade NK Mladost Bakić, zgrade mjesnih domova G. Miholjac i Sladojevci te Zgrade starog kotara i isknjiženje prodanog poslovnog objekta u središtu grada. </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9.160.367,74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9.205.637,52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w:t>
            </w:r>
          </w:p>
        </w:tc>
      </w:tr>
    </w:tbl>
    <w:p>
      <w:pPr>
        <w:spacing w:before="0" w:after="0"/>
      </w:pPr>
    </w:p>
    <w:p>
      <w:r>
        <w:t xml:space="preserve">Ceste, željeznice i ostali prometni objekti gotovo su na istoj razini kao i početkom godine, promjene su nastale za ulaganje u projektnu dokumentaciju spajanja ulica F. Kuhača i Stublovačka, ulica Mirna II i Jakova Gotovca te projekte za revitalizaciju javnih površina na Trgu sv. Josipa.</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4.315.127,53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5.929.059,80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w:t>
            </w:r>
          </w:p>
        </w:tc>
      </w:tr>
    </w:tbl>
    <w:p>
      <w:pPr>
        <w:spacing w:before="0" w:after="0"/>
      </w:pPr>
    </w:p>
    <w:p>
      <w:r>
        <w:t xml:space="preserve">Ostali građevinski objekti bilježe rast od 37,4%, a čine ih ulaganja u rekonstrukciju Staroškolskog igrališta, javnu rasvjetu na Šetalištu J. Burgera, ulaganja u sanaciju Odlagališta otpada Radosavci, izgradnju Reciklažnog dvorišta, ulaganja u zgradu NK Sladojevci i izradu projektne dokumentacije za revitalizaciju Parka 136. slatinske brigade.</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7.403.340,97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7.987.577,69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Ispravak vrijednosti obračunat je u skladu sa zakonskim propisima.</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254.994,60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294.129,77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bl>
    <w:p>
      <w:pPr>
        <w:spacing w:before="0" w:after="0"/>
      </w:pPr>
    </w:p>
    <w:p>
      <w:r>
        <w:t xml:space="preserve">Uredska oprema bilježi rast za 15,3%, a čine ju ulaganja u računala i računalnu opremu, uredski namještaj, namještaj i opremu Dječjeg vrtića "Zeko" i  nabavu opreme za mjesne domove.</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62.579,76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42.208,59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w:t>
            </w:r>
          </w:p>
        </w:tc>
      </w:tr>
    </w:tbl>
    <w:p>
      <w:pPr>
        <w:spacing w:before="0" w:after="0"/>
      </w:pPr>
    </w:p>
    <w:p>
      <w:r>
        <w:t xml:space="preserve">Oprema za održavanje i zaštitu bilježi pad od 32,6%, a rezultat je isknjiženja dotrajale i neupotrebljive opreme po Odluci inventurne komisije.</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16.461,46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Instrumenti i uređaji čine nabavu od 16.461,46 eura, a odnosi se na nabavu GIS sustava.</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1.290.081,81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1.321.597,72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Uređaji, strojevi i oprema za ostale namjene bilježi rast od 2,4%, a čine ju nabava opreme za održavanje zelenih površina, opreme javnih površina, opreme sustava civilne zaštite i nabava adventskih kućica te umanjenje imovine zbog isknjiženja dotrajale opreme po Odluci inventurne komisije.</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1.273.142,87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1.456.021,82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Ispravak vrijednosti obračunat je u skladu sa zakonskim propisima.</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58.759,24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65.859,24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Prijevozna sredstva u cestovnom prometu bilježe rast za 12,1%, zbog nabave službenog vozila marke Dacia Logan MCV Essential 1,5 Blue DCI 75 nakon proteka operativnog leasinga.</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45.901,25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Ispravak vrijednosti proveden je u skladu sa zakonskim propisima.</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djela (izložena u galerijama, muzejima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r>
        <w:t xml:space="preserve">Umjetnička djela bilježe pad zbog isknjiženja po Odluci inventurne komisije.</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Ispravak vrijednosti obračunat je u skladu sa zakonskim propisima.</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27.963,04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w:t>
            </w:r>
          </w:p>
        </w:tc>
      </w:tr>
    </w:tbl>
    <w:p>
      <w:pPr>
        <w:spacing w:before="0" w:after="0"/>
      </w:pPr>
    </w:p>
    <w:p>
      <w:r>
        <w:t xml:space="preserve">Višegodišnji nasadi bilježe rast od 20,9%, zbog naslijeđene šume kao ošasne imovine iza pokojnog Tomislava Prebega.</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višegodišnjih nasada i osnovnog stada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w:t>
            </w:r>
          </w:p>
        </w:tc>
      </w:tr>
    </w:tbl>
    <w:p>
      <w:pPr>
        <w:spacing w:before="0" w:after="0"/>
      </w:pPr>
    </w:p>
    <w:p>
      <w:r>
        <w:t xml:space="preserve">Ispravak vrijednosti proveden je u skladu sa zakonskim propisima.</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w:t>
            </w:r>
          </w:p>
        </w:tc>
      </w:tr>
    </w:tbl>
    <w:p>
      <w:pPr>
        <w:spacing w:before="0" w:after="0"/>
      </w:pPr>
    </w:p>
    <w:p>
      <w:r>
        <w:t xml:space="preserve">Umjetnička, literarna i znanstvena djela bilježe rast od 441,2%, zbog ulaganja u prostorne planove.</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1.440.970,91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1.444.720,91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Ostala nematerijalna proizvedena imovina bilježi ulaganje u izradu Prometne studije i digitalizaciju usluga.</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nematerijalne proizvedene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1.342.146,70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1.374.750,73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Ispravak vrijednosti obračunat je u skladu sa zakonskim propisima.</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39.291,38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44.334,92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Povećanje sitnog inventara odnosi se na nove nabave.</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39.291,38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44.334,92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Ispravak vrijednosti obračunat je u skladu sa zakonskim propisima.</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1.742.871,08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3.625.304,90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w:t>
            </w:r>
          </w:p>
        </w:tc>
      </w:tr>
    </w:tbl>
    <w:p>
      <w:pPr>
        <w:spacing w:before="0" w:after="0"/>
      </w:pPr>
    </w:p>
    <w:p>
      <w:r>
        <w:t xml:space="preserve">Građevinski objekti u pripremi bilježe rast od 108%, a čine ih ulaganja u izgradnju Područnog dječjeg vrtića, rekonstrukciju javne rasvjete na Šetalištu Julija Burgera i Gornjem gradu, ulaganje u projektnu dokumentaciju za TRK Javorica i projektnu dokumentaciju za Športsku dvoranu sa hostelom.</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112.621,18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465,8</w:t>
            </w:r>
          </w:p>
        </w:tc>
      </w:tr>
    </w:tbl>
    <w:p>
      <w:pPr>
        <w:spacing w:before="0" w:after="0"/>
      </w:pPr>
    </w:p>
    <w:p>
      <w:r>
        <w:t xml:space="preserve">Ostala nematerijalna proizvedena imovina u pripremi bilježi rast od 365,8%, a čine ju ulaganja u rekonstrukciju Staroškolskog igrališta, projektiranje Vatrogasnog centra i ulaganje u projektnu dokumentaciju za prijave na natječaje.</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731.191,24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w:t>
            </w:r>
          </w:p>
        </w:tc>
      </w:tr>
    </w:tbl>
    <w:p>
      <w:pPr>
        <w:spacing w:before="0" w:after="0"/>
      </w:pPr>
    </w:p>
    <w:p>
      <w:r>
        <w:t xml:space="preserve">Novac na računu kod tuzemnih poslovnih banaka manji je za 79,3% u odnosu na početak godine. Poslovanje Grada Slatine obavljalo se putem redovnog IBAN računa broj HR6324120091839500001, otvorenog kod Slatinske banke d.d. Slatina. Poseban podračun za praćenje uplaćenih sredstava za komunalnu i vodnu naknadu otvoren je 2.12.2011. godine pod IBAN brojem HR6524120091520000201. Podračun za potrebe postupka izvlaštenja otvoren je 29. prosinca 2020. godine s IBAN brojem HR5224120091520000726. Podračun za naknadu za oduzeto nacionalizirano zemljište Đuri Rosembekeru otvoren je 07. siječnja 2022.g. sa IBAN brojem HR6524120091520000898. Stanje žiro računa Grada Slatine na početku godine iznosilo je 731.191,24 eura, a na kraju godine 151.011,03 eura.</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w:t>
            </w:r>
          </w:p>
        </w:tc>
      </w:tr>
    </w:tbl>
    <w:p>
      <w:pPr>
        <w:spacing w:before="0" w:after="0"/>
      </w:pPr>
    </w:p>
    <w:p>
      <w:r>
        <w:t xml:space="preserve">Potraživanja od zaposlenih bilježe pad od 98,2%, a čine ih potraživanja za gorivo za održavanje zelenih površina od djelatnika M. Čevizovića.</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w:t>
            </w:r>
          </w:p>
        </w:tc>
      </w:tr>
    </w:tbl>
    <w:p>
      <w:pPr>
        <w:spacing w:before="0" w:after="0"/>
      </w:pPr>
    </w:p>
    <w:p>
      <w:r>
        <w:t xml:space="preserve">Ostala potraživanja bilježe rast od 48,6%, a čine ih potraživanja za bolovanja na teret HZZO-a u iznosu od 9.997,30 eura i potraživanja za predujmove u iznosu od 1.054,59 eura.</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poreze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124.287,14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136.751,79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r>
        <w:t xml:space="preserve">Potraživanja za poreze veća su za 10%, a čine ih porez na korištenje javnih površina u iznosu od 5.212,43 eura, porez na kuće za odmor u iznosu od 369,50 eura, porez na nekretnine u iznosu od 1.656,16 eura, porez na promet nekretnina u iznosu od 95.270,22 eura, porez na potrošnju alkoholnih i bezalkoholnih pića u iznosu od 28.988,20 eura i porez na tvrtku u iznosu od 5.255,28 eura.</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97.180,54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proračunu i izvanproračunskim korisnicima drugih proračuna sastoje se od potraživanja Ministarstva, demografije i useljeništva po Projektu za poboljšanje materijalnih uvjeta u dječjim vrtićima u iznosu od 44.997,67 eura, za rekonstrukciju dječjeg igrališta u "Malom parku" u iznosu od 49.782,87 eura i Ministarstva kulture i medija za Međunarodni festival Dani Milka Kelemena u iznosu od 2.400,00 eura.</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299.417,04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od izvanproračunskih korisnika čine potraživanja za EU sredstva za sanaciju Odlagališta otpada Radosavci.</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izravnanja za decentralizirane funkcije 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174.688,29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izravnanja za decentralizirane funkcije i fiskalnog izravnanja sastoje se od potraživanja za fiskalno izravnanje.</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235.987,02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242.208,38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Potraživanja za prihode od imovine sastoje se od potraživanja za koncesije u iznosu od 35.198,78 eura, potraživanja za zakup zemljišta u iznosu od 168.475,56 eura, potraživanja za najam stanova u iznosu od 21.423,56 eura, zakup poslovnog prostora u iznosu od 2.258,61 euro, zakup garaža u iznosu od 1.171,35 eura i potraživanja za naknadu za nezakonito izgrađene zgrade u prostoru u iznosu od 13.680,52 eura. </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1.674.471,32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1.657.230,07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bl>
    <w:p>
      <w:pPr>
        <w:spacing w:before="0" w:after="0"/>
      </w:pPr>
    </w:p>
    <w:p>
      <w:r>
        <w:t xml:space="preserve">Potraživanja za upravne i administrativne pristojbe, pristojbe po posebnim propisima i naknade sa sastoje se od potraživanja za naknadu za uređenje voda u iznosu od 579.950,52 eura, potraživanja za doprinose za šume u iznosu od 193,81 euro, potraživanja za stipendije u iznosu od 31.842,21 euro, potraživanja za naknadu troškova naplate naknade za uređenje voda u iznosu od 5.708,82 eura, potraživanja za materijalne troškove od korisnika gradskih prostora u iznosu od 7.241,35 eura, potraživanja za komunalne doprinose u iznosu od 235.308,18 eura, potraživanja za komunalne naknade u iznosu od 784.733,49 eura, potraživanje za priključak na vodovodnu mrežu u iznosu od 5.544,13 eura i potraživanje za priključak na kanalizacijsku mrežu u iznosu od 6.707,56 eura.</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w:t>
            </w:r>
          </w:p>
        </w:tc>
      </w:tr>
    </w:tbl>
    <w:p>
      <w:pPr>
        <w:spacing w:before="0" w:after="0"/>
      </w:pPr>
    </w:p>
    <w:p>
      <w:r>
        <w:t xml:space="preserve">Potraživanje za prihode od prodaje proizvoda i robe te pruženih usluga i za povrat po protestiranim jamstvima sastoje se od prihoda za naplatu naknade za uređenje voda.</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w:t>
            </w:r>
          </w:p>
        </w:tc>
      </w:tr>
    </w:tbl>
    <w:p>
      <w:pPr>
        <w:spacing w:before="0" w:after="0"/>
      </w:pPr>
    </w:p>
    <w:p>
      <w:r>
        <w:t xml:space="preserve">Potraživanja za kazne i upravne mjere te ostale prihode sastoje se od potraživanja za troškove prisilne naplate u iznosu od 9.822,54 eura i potraživanje za troškove javnog bilježnika u iznosu od 91,25 euro.</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1.546.229,47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1.689.100,38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Ispravak vrijednosti potraživanja proveden je u skladu sa zakonskim propisima.</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170.013,66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169.802,76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w:t>
            </w:r>
          </w:p>
        </w:tc>
      </w:tr>
    </w:tbl>
    <w:p>
      <w:pPr>
        <w:spacing w:before="0" w:after="0"/>
      </w:pPr>
    </w:p>
    <w:p>
      <w:r>
        <w:t xml:space="preserve">Potraživanje od prodaje proizvedene dugotrajne imovine sastoji se od potraživanja za prodaju gradskih stanova.</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za prodanu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157.888,99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Ispravak vrijednosti potraživanja proveden u skladu sa zakonskim propisima za kašnjenje u plaćanju preko dvije godine.</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106.825,43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145.174,05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Obveze za zaposlene veće su 35,9%, zbog rasta plaća i većeg broja zaposlenih.</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354,8</w:t>
            </w:r>
          </w:p>
        </w:tc>
      </w:tr>
    </w:tbl>
    <w:p>
      <w:pPr>
        <w:spacing w:before="0" w:after="0"/>
      </w:pPr>
    </w:p>
    <w:p>
      <w:r>
        <w:t xml:space="preserve">Obveze za financijske rashode veće su za 254,8%, zbog obveze za kamate na dugoročan kredit HBOR-u i obveza za usluge platnog prometa.</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pomoći dane u inozemstvo i unutar općeg proračuna (šifre 2361 do 2368)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pomoći dane u inozemstvo i unutar općeg proračuna sadrže obveze po Rješenju SŠ M. Marulić.</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27.013,85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bl>
    <w:p>
      <w:pPr>
        <w:spacing w:before="0" w:after="0"/>
      </w:pPr>
    </w:p>
    <w:p>
      <w:r>
        <w:t xml:space="preserve">Obveze za naknade građanima i kućanstvima manje su za 6,9%.</w:t>
      </w:r>
    </w:p>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donacije, kazne, naknade šteta i kapitalne pomoći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208.168,57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654,3</w:t>
            </w:r>
          </w:p>
        </w:tc>
      </w:tr>
    </w:tbl>
    <w:p>
      <w:pPr>
        <w:spacing w:before="0" w:after="0"/>
      </w:pPr>
    </w:p>
    <w:p>
      <w:r>
        <w:t xml:space="preserve">Obveze za donacije, kazne, naknade šteta i kapitalne pomoći veće su 554,3% zbog obveza za aglomeraciju koje iznose 174.167,27 eura.</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Ostale tekuće obveze manje su za 91,4%, sadrže obveze za pogrešno uplaćena sredstva u Proračun i obveze povrata sredstava za decentralizirane funkcije vatrogastva.</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104.049,27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683.165,26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656,6</w:t>
            </w:r>
          </w:p>
        </w:tc>
      </w:tr>
    </w:tbl>
    <w:p>
      <w:pPr>
        <w:spacing w:before="0" w:after="0"/>
      </w:pPr>
    </w:p>
    <w:p>
      <w:r>
        <w:t xml:space="preserve">Obveze za nabavu proizvedene dugotrajne imovine veće su 556,6%, zbog izgradnje Područnog dječjeg vrtića, sanacije Odlagališta otpada Radosavci, rekonstrukcije javne rasvjete u Gornjem gradu, uređenje parkova, nabavu GIS sustava, digitalizaciju usluga i ulaganja u prostorne planove.</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w:t>
            </w:r>
          </w:p>
        </w:tc>
      </w:tr>
    </w:tbl>
    <w:p>
      <w:pPr>
        <w:spacing w:before="0" w:after="0"/>
      </w:pPr>
    </w:p>
    <w:p>
      <w:r>
        <w:t xml:space="preserve">Obveze za dodatna ulaganja na nefinancijskoj imovini manja su 96,8%, a sadrže obveze za jedan neplaćen račun dobavljaču za dodatno ulaganje na imovini.</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kredite i zajmove sadrže obvezu za dugoročan kredit HBOR-u za izgradnju Staroškolskog igrališta i Područnog dječjeg vrtića.</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246.947,14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391.151,49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w:t>
            </w:r>
          </w:p>
        </w:tc>
      </w:tr>
    </w:tbl>
    <w:p>
      <w:pPr>
        <w:spacing w:before="0" w:after="0"/>
      </w:pPr>
    </w:p>
    <w:p>
      <w:r>
        <w:t xml:space="preserve">Obveze za predujmove, depozite, jamčevne pologe i tuđe prihode veće su 58,4%, sadrže obveze za jamčevne pologe, obveze za naknadu za uređenje voda, obveze za sredstva proračunskih korisnika i obveze za predujam za izgradnju Područnog dječjeg vrtića.</w:t>
      </w:r>
    </w:p>
    <w:p/>
    <w:p>
      <w:pPr>
        <w:jc w:val="center"/>
        <w:pStyle w:val="Normal"/>
        <w:spacing w:line="240" w:lineRule="auto"/>
        <w:keepNext/>
      </w:pPr>
      <w:r>
        <w:rPr>
          <w:sz w:val="28"/>
          <w:rFonts w:ascii="Times New Roman" w:hAnsi="Times New Roman"/>
        </w:rPr>
        <w:t xml:space="preserve">Bilješka 130.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30.841.523,45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34.845.307,23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Vlastiti izvori veći su za 13% u odnosu na početak godine.</w:t>
      </w:r>
    </w:p>
    <w:p/>
    <w:p>
      <w:pPr>
        <w:jc w:val="center"/>
        <w:pStyle w:val="Normal"/>
        <w:spacing w:line="240" w:lineRule="auto"/>
        <w:keepNext/>
      </w:pPr>
      <w:r>
        <w:rPr>
          <w:sz w:val="28"/>
          <w:rFonts w:ascii="Times New Roman" w:hAnsi="Times New Roman"/>
        </w:rPr>
        <w:t xml:space="preserve">Bilješka 131.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vlastitih izvora za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Ispravak vlastitih izvora za obveze sadrži ispravak za dugoročan kredit podignut kod HBOR-a za investicije.</w:t>
      </w:r>
    </w:p>
    <w:p/>
    <w:p>
      <w:pPr>
        <w:jc w:val="center"/>
        <w:pStyle w:val="Normal"/>
        <w:spacing w:line="240" w:lineRule="auto"/>
        <w:keepNext/>
      </w:pPr>
      <w:r>
        <w:rPr>
          <w:sz w:val="28"/>
          <w:rFonts w:ascii="Times New Roman" w:hAnsi="Times New Roman"/>
        </w:rPr>
        <w:t xml:space="preserve">Bilješka 132.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-159.105,32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-1.744.977,67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1096,7</w:t>
            </w:r>
          </w:p>
        </w:tc>
      </w:tr>
    </w:tbl>
    <w:p>
      <w:pPr>
        <w:spacing w:before="0" w:after="0"/>
      </w:pPr>
    </w:p>
    <w:p>
      <w:r>
        <w:t xml:space="preserve">Manjak za prijenos u slijedeće razdoblje iznosi 1.744.977,67 eura, a nastao je kao rezultat manjka prihoda poslovanja u iznosu od 836.133,53, uvećan za manjak prihoda od nefinancijske imovine u iznosu od 1.995.511,89 eura, umanjen za višak prihoda i primitaka od financijske imovine u iznosu od 1.086.667,75 eura.</w:t>
      </w:r>
    </w:p>
    <w:tbl>
      <w:tblPr>
        <w:tblStyle w:val="TableGrid"/>
        <w:tblW w:w="3251.185" w:type="pct"/>
      </w:tblPr>
      <w:tblGrid>
        <w:gridCol w:w="2447"/>
        <w:gridCol w:w="1580"/>
        <w:gridCol w:w="1918"/>
        <w:gridCol w:w="1982"/>
        <w:gridCol w:w="1697"/>
      </w:tblGrid>
      <w:tr>
        <w:trPr/>
        <w:tc>
          <w:tcPr>
            <w:tcW w:w="1271" w:type="pct"/>
            <w:vAlign w:val="center"/>
          </w:tcPr>
          <w:p>
            <w:r>
              <w:rPr>
                <w:b/>
              </w:rPr>
              <w:t xml:space="preserve">Opis</w:t>
            </w:r>
          </w:p>
        </w:tc>
        <w:tc>
          <w:tcPr>
            <w:tcW w:w="821" w:type="pct"/>
            <w:vAlign w:val="center"/>
          </w:tcPr>
          <w:p>
            <w:r>
              <w:rPr>
                <w:b/>
              </w:rPr>
              <w:t xml:space="preserve">Višak/manjak prihoda poslovanja</w:t>
            </w:r>
          </w:p>
        </w:tc>
        <w:tc>
          <w:tcPr>
            <w:tcW w:w="996" w:type="pct"/>
            <w:vAlign w:val="center"/>
          </w:tcPr>
          <w:p>
            <w:r>
              <w:rPr>
                <w:b/>
              </w:rPr>
              <w:t xml:space="preserve">Višak/manjak prihoda od nefinancijske imovine</w:t>
            </w:r>
          </w:p>
        </w:tc>
        <w:tc>
          <w:tcPr>
            <w:tcW w:w="1029" w:type="pct"/>
            <w:vAlign w:val="center"/>
          </w:tcPr>
          <w:p>
            <w:r>
              <w:rPr>
                <w:b/>
              </w:rPr>
              <w:t xml:space="preserve">Višak/manjak od financijske imovine</w:t>
            </w:r>
          </w:p>
        </w:tc>
        <w:tc>
          <w:tcPr>
            <w:tcW w:w="881" w:type="pct"/>
            <w:vAlign w:val="center"/>
          </w:tcPr>
          <w:p>
            <w:r>
              <w:rPr>
                <w:b/>
              </w:rPr>
              <w:t xml:space="preserve">Višak/manjak za prijenos u slijedeću godinu</w:t>
            </w:r>
          </w:p>
        </w:tc>
      </w:tr>
      <w:tr>
        <w:trPr/>
        <w:tc>
          <w:tcPr>
            <w:tcW w:w="1271" w:type="pct"/>
            <w:vAlign w:val="center"/>
          </w:tcPr>
          <w:p>
            <w:r>
              <w:t xml:space="preserve">Početno stanje</w:t>
            </w:r>
          </w:p>
        </w:tc>
        <w:tc>
          <w:tcPr>
            <w:tcW w:w="821" w:type="pct"/>
            <w:vAlign w:val="center"/>
          </w:tcPr>
          <w:p>
            <w:pPr>
              <w:keepNext/>
              <w:jc w:val="right"/>
            </w:pPr>
            <w:r>
              <w:t xml:space="preserve">112.350,54</w:t>
            </w:r>
          </w:p>
        </w:tc>
        <w:tc>
          <w:tcPr>
            <w:tcW w:w="996" w:type="pct"/>
            <w:vAlign w:val="center"/>
          </w:tcPr>
          <w:p>
            <w:pPr>
              <w:keepNext/>
              <w:jc w:val="right"/>
            </w:pPr>
            <w:r>
              <w:t xml:space="preserve">-639.896,05</w:t>
            </w:r>
          </w:p>
        </w:tc>
        <w:tc>
          <w:tcPr>
            <w:tcW w:w="1029" w:type="pct"/>
            <w:vAlign w:val="center"/>
          </w:tcPr>
          <w:p>
            <w:pPr>
              <w:keepNext/>
              <w:jc w:val="right"/>
            </w:pPr>
            <w:r>
              <w:t xml:space="preserve">368.440,19</w:t>
            </w:r>
          </w:p>
        </w:tc>
        <w:tc>
          <w:tcPr>
            <w:tcW w:w="881" w:type="pct"/>
            <w:vAlign w:val="center"/>
          </w:tcPr>
          <w:p>
            <w:pPr>
              <w:keepNext/>
              <w:jc w:val="right"/>
            </w:pPr>
            <w:r>
              <w:t xml:space="preserve">-159.105,32</w:t>
            </w:r>
          </w:p>
        </w:tc>
      </w:tr>
      <w:tr>
        <w:trPr/>
        <w:tc>
          <w:tcPr>
            <w:tcW w:w="1271" w:type="pct"/>
            <w:vAlign w:val="center"/>
          </w:tcPr>
          <w:p>
            <w:r>
              <w:t xml:space="preserve">Povrat sredstava zbog raskida ugovora</w:t>
            </w:r>
          </w:p>
        </w:tc>
        <w:tc>
          <w:tcPr>
            <w:tcW w:w="821" w:type="pct"/>
            <w:vAlign w:val="center"/>
          </w:tcPr>
          <w:p>
            <w:pPr>
              <w:keepNext/>
              <w:jc w:val="right"/>
            </w:pPr>
            <w:r>
              <w:t xml:space="preserve">0,00</w:t>
            </w:r>
          </w:p>
        </w:tc>
        <w:tc>
          <w:tcPr>
            <w:tcW w:w="996" w:type="pct"/>
            <w:vAlign w:val="center"/>
          </w:tcPr>
          <w:p>
            <w:pPr>
              <w:keepNext/>
              <w:jc w:val="right"/>
            </w:pPr>
            <w:r>
              <w:t xml:space="preserve">-46.167,00</w:t>
            </w:r>
          </w:p>
        </w:tc>
        <w:tc>
          <w:tcPr>
            <w:tcW w:w="1029" w:type="pct"/>
            <w:vAlign w:val="center"/>
          </w:tcPr>
          <w:p>
            <w:pPr>
              <w:keepNext/>
              <w:jc w:val="right"/>
            </w:pPr>
            <w:r>
              <w:t xml:space="preserve">0,00</w:t>
            </w:r>
          </w:p>
        </w:tc>
        <w:tc>
          <w:tcPr>
            <w:tcW w:w="881" w:type="pct"/>
            <w:vAlign w:val="center"/>
          </w:tcPr>
          <w:p>
            <w:pPr>
              <w:keepNext/>
              <w:jc w:val="right"/>
            </w:pPr>
            <w:r>
              <w:t xml:space="preserve">-46.167,00</w:t>
            </w:r>
          </w:p>
        </w:tc>
      </w:tr>
      <w:tr>
        <w:trPr/>
        <w:tc>
          <w:tcPr>
            <w:tcW w:w="1271" w:type="pct"/>
            <w:vAlign w:val="center"/>
          </w:tcPr>
          <w:p>
            <w:r>
              <w:t xml:space="preserve">Raspodjela rezultata</w:t>
            </w:r>
          </w:p>
        </w:tc>
        <w:tc>
          <w:tcPr>
            <w:tcW w:w="821" w:type="pct"/>
            <w:vAlign w:val="center"/>
          </w:tcPr>
          <w:p>
            <w:pPr>
              <w:keepNext/>
              <w:jc w:val="right"/>
            </w:pPr>
            <w:r>
              <w:t xml:space="preserve">-758.266,67</w:t>
            </w:r>
          </w:p>
        </w:tc>
        <w:tc>
          <w:tcPr>
            <w:tcW w:w="996" w:type="pct"/>
            <w:vAlign w:val="center"/>
          </w:tcPr>
          <w:p>
            <w:pPr>
              <w:keepNext/>
              <w:jc w:val="right"/>
            </w:pPr>
            <w:r>
              <w:t xml:space="preserve">820.831,89</w:t>
            </w:r>
          </w:p>
        </w:tc>
        <w:tc>
          <w:tcPr>
            <w:tcW w:w="1029" w:type="pct"/>
            <w:vAlign w:val="center"/>
          </w:tcPr>
          <w:p>
            <w:pPr>
              <w:keepNext/>
              <w:jc w:val="right"/>
            </w:pPr>
            <w:r>
              <w:t xml:space="preserve">-62.565,22</w:t>
            </w:r>
          </w:p>
        </w:tc>
        <w:tc>
          <w:tcPr>
            <w:tcW w:w="881" w:type="pct"/>
            <w:vAlign w:val="center"/>
          </w:tcPr>
          <w:p>
            <w:pPr>
              <w:keepNext/>
              <w:jc w:val="right"/>
            </w:pPr>
            <w:r>
              <w:t xml:space="preserve">0,00</w:t>
            </w:r>
          </w:p>
        </w:tc>
      </w:tr>
      <w:tr>
        <w:trPr/>
        <w:tc>
          <w:tcPr>
            <w:tcW w:w="1271" w:type="pct"/>
            <w:vAlign w:val="center"/>
          </w:tcPr>
          <w:p>
            <w:r>
              <w:t xml:space="preserve">Tekuća godina PR-RAS</w:t>
            </w:r>
          </w:p>
        </w:tc>
        <w:tc>
          <w:tcPr>
            <w:tcW w:w="821" w:type="pct"/>
            <w:vAlign w:val="center"/>
          </w:tcPr>
          <w:p>
            <w:pPr>
              <w:keepNext/>
              <w:jc w:val="right"/>
            </w:pPr>
            <w:r>
              <w:t xml:space="preserve">1.334.810,38</w:t>
            </w:r>
          </w:p>
        </w:tc>
        <w:tc>
          <w:tcPr>
            <w:tcW w:w="996" w:type="pct"/>
            <w:vAlign w:val="center"/>
          </w:tcPr>
          <w:p>
            <w:pPr>
              <w:keepNext/>
              <w:jc w:val="right"/>
            </w:pPr>
            <w:r>
              <w:t xml:space="preserve">-3.655.308,51</w:t>
            </w:r>
          </w:p>
        </w:tc>
        <w:tc>
          <w:tcPr>
            <w:tcW w:w="1029" w:type="pct"/>
            <w:vAlign w:val="center"/>
          </w:tcPr>
          <w:p>
            <w:pPr>
              <w:keepNext/>
              <w:jc w:val="right"/>
            </w:pPr>
            <w:r>
              <w:t xml:space="preserve">780.792,78</w:t>
            </w:r>
          </w:p>
        </w:tc>
        <w:tc>
          <w:tcPr>
            <w:tcW w:w="881" w:type="pct"/>
            <w:vAlign w:val="center"/>
          </w:tcPr>
          <w:p>
            <w:pPr>
              <w:keepNext/>
              <w:jc w:val="right"/>
            </w:pPr>
            <w:r>
              <w:t xml:space="preserve">-1.539.705,35</w:t>
            </w:r>
          </w:p>
        </w:tc>
      </w:tr>
      <w:tr>
        <w:trPr/>
        <w:tc>
          <w:tcPr>
            <w:tcW w:w="1271" w:type="pct"/>
            <w:vAlign w:val="center"/>
          </w:tcPr>
          <w:p>
            <w:r>
              <w:t xml:space="preserve">3673</w:t>
            </w:r>
          </w:p>
        </w:tc>
        <w:tc>
          <w:tcPr>
            <w:tcW w:w="821" w:type="pct"/>
            <w:vAlign w:val="center"/>
          </w:tcPr>
          <w:p>
            <w:pPr>
              <w:keepNext/>
              <w:jc w:val="right"/>
            </w:pPr>
            <w:r>
              <w:t xml:space="preserve">31.340,84</w:t>
            </w:r>
          </w:p>
        </w:tc>
        <w:tc>
          <w:tcPr>
            <w:tcW w:w="996" w:type="pct"/>
            <w:vAlign w:val="center"/>
          </w:tcPr>
          <w:p>
            <w:pPr>
              <w:keepNext/>
              <w:jc w:val="right"/>
            </w:pPr>
            <w:r>
              <w:t xml:space="preserve">-31.340,84</w:t>
            </w:r>
          </w:p>
        </w:tc>
        <w:tc>
          <w:tcPr>
            <w:tcW w:w="1029" w:type="pct"/>
            <w:vAlign w:val="center"/>
          </w:tcPr>
          <w:p>
            <w:pPr>
              <w:keepNext/>
              <w:jc w:val="right"/>
            </w:pPr>
            <w:r>
              <w:t xml:space="preserve">0,00</w:t>
            </w:r>
          </w:p>
        </w:tc>
        <w:tc>
          <w:tcPr>
            <w:tcW w:w="881" w:type="pct"/>
            <w:vAlign w:val="center"/>
          </w:tcPr>
          <w:p>
            <w:pPr>
              <w:keepNext/>
              <w:jc w:val="right"/>
            </w:pPr>
            <w:r>
              <w:t xml:space="preserve">0,00</w:t>
            </w:r>
          </w:p>
        </w:tc>
      </w:tr>
      <w:tr>
        <w:trPr/>
        <w:tc>
          <w:tcPr>
            <w:tcW w:w="1271" w:type="pct"/>
            <w:vAlign w:val="center"/>
          </w:tcPr>
          <w:p>
            <w:r>
              <w:rPr>
                <w:b/>
              </w:rPr>
              <w:t xml:space="preserve">Ukupno</w:t>
            </w:r>
          </w:p>
        </w:tc>
        <w:tc>
          <w:tcPr>
            <w:tcW w:w="821" w:type="pct"/>
            <w:vAlign w:val="center"/>
          </w:tcPr>
          <w:p>
            <w:pPr>
              <w:keepNext/>
              <w:jc w:val="right"/>
            </w:pPr>
            <w:r>
              <w:rPr>
                <w:b/>
              </w:rPr>
              <w:t xml:space="preserve">720.235,09</w:t>
            </w:r>
          </w:p>
        </w:tc>
        <w:tc>
          <w:tcPr>
            <w:tcW w:w="996" w:type="pct"/>
            <w:vAlign w:val="center"/>
          </w:tcPr>
          <w:p>
            <w:pPr>
              <w:keepNext/>
              <w:jc w:val="right"/>
            </w:pPr>
            <w:r>
              <w:rPr>
                <w:b/>
              </w:rPr>
              <w:t xml:space="preserve">-3.551.880,51</w:t>
            </w:r>
          </w:p>
        </w:tc>
        <w:tc>
          <w:tcPr>
            <w:tcW w:w="1029" w:type="pct"/>
            <w:vAlign w:val="center"/>
          </w:tcPr>
          <w:p>
            <w:pPr>
              <w:keepNext/>
              <w:jc w:val="right"/>
            </w:pPr>
            <w:r>
              <w:rPr>
                <w:b/>
              </w:rPr>
              <w:t xml:space="preserve">1.086.667,75</w:t>
            </w:r>
          </w:p>
        </w:tc>
        <w:tc>
          <w:tcPr>
            <w:tcW w:w="881" w:type="pct"/>
            <w:vAlign w:val="center"/>
          </w:tcPr>
          <w:p>
            <w:pPr>
              <w:keepNext/>
              <w:jc w:val="right"/>
            </w:pPr>
            <w:r>
              <w:rPr>
                <w:b/>
              </w:rPr>
              <w:t xml:space="preserve">-1.744.977,67</w:t>
            </w:r>
          </w:p>
        </w:tc>
      </w:tr>
      <w:tr>
        <w:trPr/>
        <w:tc>
          <w:tcPr>
            <w:tcW w:w="1271" w:type="pct"/>
            <w:vAlign w:val="center"/>
          </w:tcPr>
          <w:p>
            <w:r>
              <w:t xml:space="preserve">Korekcija rezultata za kapitalna ulaganja iz sredstava pomoći</w:t>
            </w:r>
          </w:p>
        </w:tc>
        <w:tc>
          <w:tcPr>
            <w:tcW w:w="821" w:type="pct"/>
            <w:vAlign w:val="center"/>
          </w:tcPr>
          <w:p>
            <w:pPr>
              <w:keepNext/>
              <w:jc w:val="right"/>
            </w:pPr>
            <w:r>
              <w:t xml:space="preserve">-1.556.368,62</w:t>
            </w:r>
          </w:p>
        </w:tc>
        <w:tc>
          <w:tcPr>
            <w:tcW w:w="996" w:type="pct"/>
            <w:vAlign w:val="center"/>
          </w:tcPr>
          <w:p>
            <w:pPr>
              <w:keepNext/>
              <w:jc w:val="right"/>
            </w:pPr>
            <w:r>
              <w:t xml:space="preserve">1.556.368,62</w:t>
            </w:r>
          </w:p>
        </w:tc>
        <w:tc>
          <w:tcPr>
            <w:tcW w:w="1029" w:type="pct"/>
            <w:vAlign w:val="center"/>
          </w:tcPr>
          <w:p>
            <w:pPr>
              <w:keepNext/>
              <w:jc w:val="right"/>
            </w:pPr>
            <w:r>
              <w:t xml:space="preserve">0,00</w:t>
            </w:r>
          </w:p>
        </w:tc>
        <w:tc>
          <w:tcPr>
            <w:tcW w:w="881" w:type="pct"/>
            <w:vAlign w:val="center"/>
          </w:tcPr>
          <w:p>
            <w:pPr>
              <w:keepNext/>
              <w:jc w:val="right"/>
            </w:pPr>
            <w:r>
              <w:t xml:space="preserve">0,00</w:t>
            </w:r>
          </w:p>
        </w:tc>
      </w:tr>
      <w:tr>
        <w:trPr/>
        <w:tc>
          <w:tcPr>
            <w:tcW w:w="1271" w:type="pct"/>
            <w:vAlign w:val="center"/>
          </w:tcPr>
          <w:p>
            <w:r>
              <w:rPr>
                <w:b/>
              </w:rPr>
              <w:t xml:space="preserve">Višak/manjak za prijenos u slijedeće razdoblje razina 22</w:t>
            </w:r>
          </w:p>
        </w:tc>
        <w:tc>
          <w:tcPr>
            <w:tcW w:w="821" w:type="pct"/>
            <w:vAlign w:val="center"/>
          </w:tcPr>
          <w:p>
            <w:pPr>
              <w:keepNext/>
              <w:jc w:val="right"/>
            </w:pPr>
            <w:r>
              <w:rPr>
                <w:b/>
              </w:rPr>
              <w:t xml:space="preserve">-836.133,53</w:t>
            </w:r>
          </w:p>
        </w:tc>
        <w:tc>
          <w:tcPr>
            <w:tcW w:w="996" w:type="pct"/>
            <w:vAlign w:val="center"/>
          </w:tcPr>
          <w:p>
            <w:pPr>
              <w:keepNext/>
              <w:jc w:val="right"/>
            </w:pPr>
            <w:r>
              <w:rPr>
                <w:b/>
              </w:rPr>
              <w:t xml:space="preserve">-1.995.511,89</w:t>
            </w:r>
          </w:p>
        </w:tc>
        <w:tc>
          <w:tcPr>
            <w:tcW w:w="1029" w:type="pct"/>
            <w:vAlign w:val="center"/>
          </w:tcPr>
          <w:p>
            <w:pPr>
              <w:keepNext/>
              <w:jc w:val="right"/>
            </w:pPr>
            <w:r>
              <w:rPr>
                <w:b/>
              </w:rPr>
              <w:t xml:space="preserve">1.086.667,75</w:t>
            </w:r>
          </w:p>
        </w:tc>
        <w:tc>
          <w:tcPr>
            <w:tcW w:w="881" w:type="pct"/>
            <w:vAlign w:val="center"/>
          </w:tcPr>
          <w:p>
            <w:pPr>
              <w:keepNext/>
              <w:jc w:val="right"/>
            </w:pPr>
            <w:r>
              <w:rPr>
                <w:b/>
              </w:rPr>
              <w:t xml:space="preserve">-1.744.977,67</w:t>
            </w:r>
          </w:p>
        </w:tc>
      </w:tr>
    </w:tbl>
    <w:p>
      <w:r>
        <w:t xml:space="preserve"> </w:t>
      </w:r>
    </w:p>
    <w:p>
      <w:r>
        <w:t xml:space="preserve">Korekcija rezultata evidentirana u korist manjka prihoda nefinancijske imovine u visini 1.556.368,62 eura, sadrži kapitalna ulaganja u Projekte:</w:t>
      </w:r>
    </w:p>
    <w:tbl>
      <w:tblPr>
        <w:tblStyle w:val="TableGrid"/>
        <w:tblW w:w="5000" w:type="pct"/>
      </w:tblPr>
      <w:tblGrid>
        <w:gridCol w:w="682"/>
        <w:gridCol w:w="3856"/>
        <w:gridCol w:w="3591"/>
        <w:gridCol w:w="1495"/>
      </w:tblGrid>
      <w:tr>
        <w:trPr/>
        <w:tc>
          <w:tcPr>
            <w:tcW w:w="354" w:type="pct"/>
            <w:vAlign w:val="center"/>
          </w:tcPr>
          <w:p>
            <w:r>
              <w:rPr>
                <w:b/>
              </w:rPr>
              <w:t xml:space="preserve">Redni broj</w:t>
            </w:r>
          </w:p>
        </w:tc>
        <w:tc>
          <w:tcPr>
            <w:tcW w:w="2003" w:type="pct"/>
            <w:vAlign w:val="center"/>
          </w:tcPr>
          <w:p>
            <w:r>
              <w:rPr>
                <w:b/>
              </w:rPr>
              <w:t xml:space="preserve">Naziv projekta - korekcija</w:t>
            </w:r>
          </w:p>
        </w:tc>
        <w:tc>
          <w:tcPr>
            <w:tcW w:w="1865" w:type="pct"/>
            <w:vAlign w:val="center"/>
          </w:tcPr>
          <w:p>
            <w:r>
              <w:rPr>
                <w:b/>
              </w:rPr>
              <w:t xml:space="preserve">Izvor financiranja</w:t>
            </w:r>
          </w:p>
        </w:tc>
        <w:tc>
          <w:tcPr>
            <w:tcW w:w="776" w:type="pct"/>
            <w:vAlign w:val="center"/>
          </w:tcPr>
          <w:p>
            <w:r>
              <w:rPr>
                <w:b/>
              </w:rPr>
              <w:t xml:space="preserve">Korekcija rezultata 2025.</w:t>
            </w:r>
          </w:p>
        </w:tc>
      </w:tr>
      <w:tr>
        <w:trPr/>
        <w:tc>
          <w:tcPr>
            <w:tcW w:w="354" w:type="pct"/>
            <w:vAlign w:val="center"/>
          </w:tcPr>
          <w:p>
            <w:r>
              <w:rPr>
                <w:b/>
              </w:rPr>
              <w:t xml:space="preserve">I.</w:t>
            </w:r>
          </w:p>
        </w:tc>
        <w:tc>
          <w:tcPr>
            <w:tcW w:w="2003" w:type="pct"/>
            <w:vAlign w:val="center"/>
          </w:tcPr>
          <w:p>
            <w:r>
              <w:rPr>
                <w:b/>
              </w:rPr>
              <w:t xml:space="preserve">Korekcija za izvor sredstava pomoći - tekuće prihode uložene u kapitalne rashode</w:t>
            </w:r>
          </w:p>
        </w:tc>
        <w:tc>
          <w:tcPr>
            <w:tcW w:w="1865" w:type="pct"/>
            <w:vAlign w:val="center"/>
          </w:tcPr>
          <w:p>
            <w:r>
              <w:t xml:space="preserve"> </w:t>
            </w:r>
          </w:p>
        </w:tc>
        <w:tc>
          <w:tcPr>
            <w:tcW w:w="776" w:type="pct"/>
            <w:vAlign w:val="center"/>
          </w:tcPr>
          <w:p>
            <w:r>
              <w:t xml:space="preserve"> </w:t>
            </w:r>
          </w:p>
        </w:tc>
      </w:tr>
      <w:tr>
        <w:trPr/>
        <w:tc>
          <w:tcPr>
            <w:tcW w:w="354" w:type="pct"/>
            <w:vAlign w:val="center"/>
          </w:tcPr>
          <w:p>
            <w:r>
              <w:t xml:space="preserve">1.</w:t>
            </w:r>
          </w:p>
        </w:tc>
        <w:tc>
          <w:tcPr>
            <w:tcW w:w="2003" w:type="pct"/>
            <w:vAlign w:val="center"/>
          </w:tcPr>
          <w:p>
            <w:r>
              <w:t xml:space="preserve">Sufinanciranje projekta 2100K2100033 Javna rasvjeta u bloku Gornji grad - G.J.Draškovića-Papučka u Slatini</w:t>
            </w:r>
          </w:p>
        </w:tc>
        <w:tc>
          <w:tcPr>
            <w:tcW w:w="1865" w:type="pct"/>
            <w:vAlign w:val="center"/>
          </w:tcPr>
          <w:p>
            <w:r>
              <w:t xml:space="preserve">Ministarstvo regionalnog razvoja i Fondova EU za rekonstrukciju javne rasvjete u Gornjem Gradu, Izvor 5.2.</w:t>
            </w:r>
          </w:p>
        </w:tc>
        <w:tc>
          <w:tcPr>
            <w:tcW w:w="776" w:type="pct"/>
            <w:vAlign w:val="center"/>
          </w:tcPr>
          <w:p>
            <w:pPr>
              <w:keepNext/>
              <w:jc w:val="right"/>
            </w:pPr>
            <w:r>
              <w:t xml:space="preserve">96.000,00</w:t>
            </w:r>
          </w:p>
        </w:tc>
      </w:tr>
      <w:tr>
        <w:trPr/>
        <w:tc>
          <w:tcPr>
            <w:tcW w:w="354" w:type="pct"/>
            <w:vAlign w:val="center"/>
          </w:tcPr>
          <w:p>
            <w:r>
              <w:t xml:space="preserve">2.</w:t>
            </w:r>
          </w:p>
        </w:tc>
        <w:tc>
          <w:tcPr>
            <w:tcW w:w="2003" w:type="pct"/>
            <w:vAlign w:val="center"/>
          </w:tcPr>
          <w:p>
            <w:r>
              <w:t xml:space="preserve">Sufinanciranje projekta 2400K240010 Sanacija s nadvišenjem odlagališta Radosavci, Etapa I, Faza 2</w:t>
            </w:r>
          </w:p>
        </w:tc>
        <w:tc>
          <w:tcPr>
            <w:tcW w:w="1865" w:type="pct"/>
            <w:vAlign w:val="center"/>
          </w:tcPr>
          <w:p>
            <w:r>
              <w:t xml:space="preserve">Fond za zaštitu okoliša i energetsku učinkovitost, Izvor 5.2.</w:t>
            </w:r>
          </w:p>
        </w:tc>
        <w:tc>
          <w:tcPr>
            <w:tcW w:w="776" w:type="pct"/>
            <w:vAlign w:val="center"/>
          </w:tcPr>
          <w:p>
            <w:pPr>
              <w:keepNext/>
              <w:jc w:val="right"/>
            </w:pPr>
            <w:r>
              <w:t xml:space="preserve">117.686,17</w:t>
            </w:r>
          </w:p>
        </w:tc>
      </w:tr>
      <w:tr>
        <w:trPr/>
        <w:tc>
          <w:tcPr>
            <w:tcW w:w="354" w:type="pct"/>
            <w:vAlign w:val="center"/>
          </w:tcPr>
          <w:p>
            <w:r>
              <w:t xml:space="preserve">3.</w:t>
            </w:r>
          </w:p>
        </w:tc>
        <w:tc>
          <w:tcPr>
            <w:tcW w:w="2003" w:type="pct"/>
            <w:vAlign w:val="center"/>
          </w:tcPr>
          <w:p>
            <w:r>
              <w:t xml:space="preserve">Sufinanciranje projekta 2400K240020 Uspostava Reciklažnog dvorišta u Gradu Slatini</w:t>
            </w:r>
          </w:p>
        </w:tc>
        <w:tc>
          <w:tcPr>
            <w:tcW w:w="1865" w:type="pct"/>
            <w:vAlign w:val="center"/>
          </w:tcPr>
          <w:p>
            <w:r>
              <w:t xml:space="preserve">NPOO 2021-2026. Mehanizam za oporavak i otpornost, Referentni broj Ugovora:NPOO.C1.3.R2-I1.04.0027, Izvor 5.5.</w:t>
            </w:r>
          </w:p>
        </w:tc>
        <w:tc>
          <w:tcPr>
            <w:tcW w:w="776" w:type="pct"/>
            <w:vAlign w:val="center"/>
          </w:tcPr>
          <w:p>
            <w:pPr>
              <w:keepNext/>
              <w:jc w:val="right"/>
            </w:pPr>
            <w:r>
              <w:t xml:space="preserve">402.930,22</w:t>
            </w:r>
          </w:p>
        </w:tc>
      </w:tr>
      <w:tr>
        <w:trPr/>
        <w:tc>
          <w:tcPr>
            <w:tcW w:w="354" w:type="pct"/>
            <w:vAlign w:val="center"/>
          </w:tcPr>
          <w:p>
            <w:r>
              <w:t xml:space="preserve">4.</w:t>
            </w:r>
          </w:p>
        </w:tc>
        <w:tc>
          <w:tcPr>
            <w:tcW w:w="2003" w:type="pct"/>
            <w:vAlign w:val="center"/>
          </w:tcPr>
          <w:p>
            <w:r>
              <w:t xml:space="preserve">Sufinanciranje projekta 3600K360080 Izgradnja Područnog DV Zeko</w:t>
            </w:r>
          </w:p>
        </w:tc>
        <w:tc>
          <w:tcPr>
            <w:tcW w:w="1865" w:type="pct"/>
            <w:vAlign w:val="center"/>
          </w:tcPr>
          <w:p>
            <w:r>
              <w:t xml:space="preserve">Ministarstvo znanosti i obrazovanja, Ugovor o dodjeli bespovratnih sredstava za projekte koji se financiraju iz NPOO, Ugovor C3.1.R1-I1.01.0138, potpisan 16.3.2023., Izvor 5.5.</w:t>
            </w:r>
          </w:p>
        </w:tc>
        <w:tc>
          <w:tcPr>
            <w:tcW w:w="776" w:type="pct"/>
            <w:vAlign w:val="center"/>
          </w:tcPr>
          <w:p>
            <w:pPr>
              <w:keepNext/>
              <w:jc w:val="right"/>
            </w:pPr>
            <w:r>
              <w:t xml:space="preserve">943.735,26</w:t>
            </w:r>
          </w:p>
        </w:tc>
      </w:tr>
      <w:tr>
        <w:trPr/>
        <w:tc>
          <w:tcPr>
            <w:tcW w:w="354" w:type="pct"/>
            <w:vAlign w:val="center"/>
          </w:tcPr>
          <w:p>
            <w:r>
              <w:t xml:space="preserve"> </w:t>
            </w:r>
          </w:p>
        </w:tc>
        <w:tc>
          <w:tcPr>
            <w:tcW w:w="2003" w:type="pct"/>
            <w:vAlign w:val="center"/>
          </w:tcPr>
          <w:p>
            <w:r>
              <w:t xml:space="preserve">Sa viška/manjka prihoda poslovanja na višak/manjak prihoda od nefinancijske imovine</w:t>
            </w:r>
          </w:p>
        </w:tc>
        <w:tc>
          <w:tcPr>
            <w:tcW w:w="1865" w:type="pct"/>
            <w:vAlign w:val="center"/>
          </w:tcPr>
          <w:p>
            <w:r>
              <w:t xml:space="preserve"> </w:t>
            </w:r>
          </w:p>
        </w:tc>
        <w:tc>
          <w:tcPr>
            <w:tcW w:w="776" w:type="pct"/>
            <w:vAlign w:val="center"/>
          </w:tcPr>
          <w:p>
            <w:pPr>
              <w:keepNext/>
              <w:jc w:val="right"/>
            </w:pPr>
            <w:r>
              <w:rPr>
                <w:b/>
              </w:rPr>
              <w:t xml:space="preserve">1.560.351,65</w:t>
            </w:r>
          </w:p>
        </w:tc>
      </w:tr>
      <w:tr>
        <w:trPr/>
        <w:tc>
          <w:tcPr>
            <w:tcW w:w="354" w:type="pct"/>
            <w:vAlign w:val="center"/>
          </w:tcPr>
          <w:p>
            <w:r>
              <w:rPr>
                <w:b/>
              </w:rPr>
              <w:t xml:space="preserve">II.</w:t>
            </w:r>
          </w:p>
        </w:tc>
        <w:tc>
          <w:tcPr>
            <w:tcW w:w="2003" w:type="pct"/>
            <w:vAlign w:val="center"/>
          </w:tcPr>
          <w:p>
            <w:r>
              <w:rPr>
                <w:b/>
              </w:rPr>
              <w:t xml:space="preserve">Korekcija za kapitalne prihode uložene u rashode poslovanja</w:t>
            </w:r>
          </w:p>
        </w:tc>
        <w:tc>
          <w:tcPr>
            <w:tcW w:w="1865" w:type="pct"/>
            <w:vAlign w:val="center"/>
          </w:tcPr>
          <w:p>
            <w:r>
              <w:t xml:space="preserve"> </w:t>
            </w:r>
          </w:p>
        </w:tc>
        <w:tc>
          <w:tcPr>
            <w:tcW w:w="776" w:type="pct"/>
            <w:vAlign w:val="center"/>
          </w:tcPr>
          <w:p>
            <w:pPr>
              <w:keepNext/>
              <w:jc w:val="right"/>
            </w:pPr>
            <w:r>
              <w:t xml:space="preserve"> </w:t>
            </w:r>
          </w:p>
        </w:tc>
      </w:tr>
      <w:tr>
        <w:trPr/>
        <w:tc>
          <w:tcPr>
            <w:tcW w:w="354" w:type="pct"/>
            <w:vAlign w:val="center"/>
          </w:tcPr>
          <w:p>
            <w:r>
              <w:t xml:space="preserve">1.</w:t>
            </w:r>
          </w:p>
        </w:tc>
        <w:tc>
          <w:tcPr>
            <w:tcW w:w="2003" w:type="pct"/>
            <w:vAlign w:val="center"/>
          </w:tcPr>
          <w:p>
            <w:r>
              <w:t xml:space="preserve">Program 3900 A390030 Ulaganje u stanove u vlasništvu Grada i obnova zajedničkih dijelova zgrade - stambena pričuva i tekuće i investicijsko održavanje gradskih stanova</w:t>
            </w:r>
          </w:p>
        </w:tc>
        <w:tc>
          <w:tcPr>
            <w:tcW w:w="1865" w:type="pct"/>
            <w:vAlign w:val="center"/>
          </w:tcPr>
          <w:p>
            <w:r>
              <w:t xml:space="preserve">Prihod od prodaje stanova sa stanarskim pravom, Izvor, 7.2.</w:t>
            </w:r>
          </w:p>
        </w:tc>
        <w:tc>
          <w:tcPr>
            <w:tcW w:w="776" w:type="pct"/>
            <w:vAlign w:val="center"/>
          </w:tcPr>
          <w:p>
            <w:pPr>
              <w:keepNext/>
              <w:jc w:val="right"/>
            </w:pPr>
            <w:r>
              <w:t xml:space="preserve">1.381,62</w:t>
            </w:r>
          </w:p>
        </w:tc>
      </w:tr>
      <w:tr>
        <w:trPr/>
        <w:tc>
          <w:tcPr>
            <w:tcW w:w="354" w:type="pct"/>
            <w:vAlign w:val="center"/>
          </w:tcPr>
          <w:p>
            <w:r>
              <w:t xml:space="preserve">2.</w:t>
            </w:r>
          </w:p>
        </w:tc>
        <w:tc>
          <w:tcPr>
            <w:tcW w:w="2003" w:type="pct"/>
            <w:vAlign w:val="center"/>
          </w:tcPr>
          <w:p>
            <w:r>
              <w:t xml:space="preserve">Program 3000A300010 Poticanje malog i srednjeg poduzetništva</w:t>
            </w:r>
          </w:p>
        </w:tc>
        <w:tc>
          <w:tcPr>
            <w:tcW w:w="1865" w:type="pct"/>
            <w:vAlign w:val="center"/>
          </w:tcPr>
          <w:p>
            <w:r>
              <w:t xml:space="preserve">Prihod od prodaje nefinancijske imovine, Izvor 7.1.</w:t>
            </w:r>
          </w:p>
        </w:tc>
        <w:tc>
          <w:tcPr>
            <w:tcW w:w="776" w:type="pct"/>
            <w:vAlign w:val="center"/>
          </w:tcPr>
          <w:p>
            <w:pPr>
              <w:keepNext/>
              <w:jc w:val="right"/>
            </w:pPr>
            <w:r>
              <w:t xml:space="preserve">2.601,41</w:t>
            </w:r>
          </w:p>
        </w:tc>
      </w:tr>
      <w:tr>
        <w:trPr/>
        <w:tc>
          <w:tcPr>
            <w:tcW w:w="354" w:type="pct"/>
            <w:vAlign w:val="center"/>
          </w:tcPr>
          <w:p>
            <w:r>
              <w:t xml:space="preserve"> </w:t>
            </w:r>
          </w:p>
        </w:tc>
        <w:tc>
          <w:tcPr>
            <w:tcW w:w="2003" w:type="pct"/>
            <w:vAlign w:val="center"/>
          </w:tcPr>
          <w:p>
            <w:r>
              <w:t xml:space="preserve">Sa viška/manjka prihoda od nefinancijske imovine na višak/manjak od prihoda poslovanja</w:t>
            </w:r>
          </w:p>
        </w:tc>
        <w:tc>
          <w:tcPr>
            <w:tcW w:w="1865" w:type="pct"/>
            <w:vAlign w:val="center"/>
          </w:tcPr>
          <w:p>
            <w:r>
              <w:t xml:space="preserve"> </w:t>
            </w:r>
          </w:p>
        </w:tc>
        <w:tc>
          <w:tcPr>
            <w:tcW w:w="776" w:type="pct"/>
            <w:vAlign w:val="center"/>
          </w:tcPr>
          <w:p>
            <w:pPr>
              <w:keepNext/>
              <w:jc w:val="right"/>
            </w:pPr>
            <w:r>
              <w:rPr>
                <w:b/>
              </w:rPr>
              <w:t xml:space="preserve">3.983,03</w:t>
            </w:r>
          </w:p>
        </w:tc>
      </w:tr>
      <w:tr>
        <w:trPr/>
        <w:tc>
          <w:tcPr>
            <w:tcW w:w="354" w:type="pct"/>
            <w:vAlign w:val="center"/>
          </w:tcPr>
          <w:p>
            <w:r>
              <w:rPr>
                <w:b/>
              </w:rPr>
              <w:t xml:space="preserve">III.</w:t>
            </w:r>
          </w:p>
        </w:tc>
        <w:tc>
          <w:tcPr>
            <w:tcW w:w="2003" w:type="pct"/>
            <w:vAlign w:val="center"/>
          </w:tcPr>
          <w:p>
            <w:r>
              <w:rPr>
                <w:b/>
              </w:rPr>
              <w:t xml:space="preserve">I.+II. Sveukupno korekcija sa viška prihoda poslovanja u korist manjka prihoda od nefinancijske imovine</w:t>
            </w:r>
          </w:p>
        </w:tc>
        <w:tc>
          <w:tcPr>
            <w:tcW w:w="1865" w:type="pct"/>
            <w:vAlign w:val="center"/>
          </w:tcPr>
          <w:p>
            <w:r>
              <w:t xml:space="preserve"> </w:t>
            </w:r>
          </w:p>
        </w:tc>
        <w:tc>
          <w:tcPr>
            <w:tcW w:w="776" w:type="pct"/>
            <w:vAlign w:val="center"/>
          </w:tcPr>
          <w:p>
            <w:pPr>
              <w:keepNext/>
              <w:jc w:val="right"/>
            </w:pPr>
            <w:r>
              <w:rPr>
                <w:b/>
              </w:rPr>
              <w:t xml:space="preserve">1.556.368,62</w:t>
            </w:r>
          </w:p>
        </w:tc>
      </w:tr>
    </w:tbl>
    <w:p>
      <w:r>
        <w:t xml:space="preserve"> </w:t>
      </w:r>
    </w:p>
    <w:p/>
    <w:p>
      <w:pPr>
        <w:jc w:val="center"/>
        <w:pStyle w:val="Normal"/>
        <w:spacing w:line="240" w:lineRule="auto"/>
        <w:keepNext/>
      </w:pPr>
      <w:r>
        <w:rPr>
          <w:sz w:val="28"/>
          <w:rFonts w:ascii="Times New Roman" w:hAnsi="Times New Roman"/>
        </w:rPr>
        <w:t xml:space="preserve">Bilješka 133.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368.440,19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1.086.667,75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294,9</w:t>
            </w:r>
          </w:p>
        </w:tc>
      </w:tr>
    </w:tbl>
    <w:p>
      <w:pPr>
        <w:spacing w:before="0" w:after="0"/>
      </w:pPr>
    </w:p>
    <w:p>
      <w:r>
        <w:t xml:space="preserve">Višak primitaka od financijske imovine iznosi 1.086.667,75 eura, a sastoji se od prenesenog viška primitaka od financijske imovine u iznosu od 368.440,19 eura, umanjenog za raspodjelu rezultata u visini od 62.565,22 eura i ostvarenog viška prihoda tekuće godine po PR-RAS obrazcu u visini 780.792,78 eura.</w:t>
      </w:r>
    </w:p>
    <w:p/>
    <w:p>
      <w:pPr>
        <w:jc w:val="center"/>
        <w:pStyle w:val="Normal"/>
        <w:spacing w:line="240" w:lineRule="auto"/>
        <w:keepNext/>
      </w:pPr>
      <w:r>
        <w:rPr>
          <w:sz w:val="28"/>
          <w:rFonts w:ascii="Times New Roman" w:hAnsi="Times New Roman"/>
        </w:rPr>
        <w:t xml:space="preserve">Bilješka 134.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836.133,53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u visini od 836.133,53 eura nastao je kao rezultat prenesenog viška prihoda poslovanja Grada u visini od 112.350,54 eura, uvećanog za ostvareni višak prihoda poslovanja tekuće godine po PR-RAS obrazcu u visini od 1.334.810,38 eura, umanjenog za raspodjelu rezultata u visini od 758.266,67 eura, uvećanog za prijenos proračunskim korisnicima za nabavu nefinancijske imovine u visini od 31.340,84 eura koje su u PR-RAS obrazcu prikazane na 3673 te umanjen za korekciju rezultata za kapitalna ulaganja u visini od 1.556.368,62 eura.</w:t>
      </w:r>
    </w:p>
    <w:p/>
    <w:p>
      <w:pPr>
        <w:jc w:val="center"/>
        <w:pStyle w:val="Normal"/>
        <w:spacing w:line="240" w:lineRule="auto"/>
        <w:keepNext/>
      </w:pPr>
      <w:r>
        <w:rPr>
          <w:sz w:val="28"/>
          <w:rFonts w:ascii="Times New Roman" w:hAnsi="Times New Roman"/>
        </w:rPr>
        <w:t xml:space="preserve">Bilješka 135.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639.896,05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1.995.511,89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311,8</w:t>
            </w:r>
          </w:p>
        </w:tc>
      </w:tr>
    </w:tbl>
    <w:p>
      <w:pPr>
        <w:spacing w:before="0" w:after="0"/>
      </w:pPr>
    </w:p>
    <w:p>
      <w:r>
        <w:t xml:space="preserve">Manjak prihoda od nefinancijske imovine iznosi 1.995.511,89 eura, nastao je kao rezultat prenesenog manjka prihoda u visini od 639.896,05 eura, uvećanog za povrate sredstava zbog raskida Ugovora u visini od 46.167,00 eura, umanjenog za raspodjelu rezultata u visini od 820.831,89 eura i uvećan za ostvareni manjak prihoda tekuće godine po PR-RAS obrazcu u visini od 3.655.308,51 euro, uvećan za prijenos proračunskim korisnicima za nabavu nefinancijske imovine u visini 31.340,84 eura koje su u PR-RAS obrazcu prikazane na 3673 i umanjenog za korekciju rezultata za kapitalna ulaganja u visini od 1.556.368,62 eura iz izvora kapitalnih pomoći.</w:t>
      </w:r>
    </w:p>
    <w:p/>
    <w:p>
      <w:pPr>
        <w:jc w:val="center"/>
        <w:pStyle w:val="Normal"/>
        <w:spacing w:line="240" w:lineRule="auto"/>
        <w:keepNext/>
      </w:pPr>
      <w:r>
        <w:rPr>
          <w:sz w:val="28"/>
          <w:rFonts w:ascii="Times New Roman" w:hAnsi="Times New Roman"/>
        </w:rPr>
        <w:t xml:space="preserve">Bilješka 136.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507.886,51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932.885,30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183,7</w:t>
            </w:r>
          </w:p>
        </w:tc>
      </w:tr>
    </w:tbl>
    <w:p>
      <w:pPr>
        <w:spacing w:before="0" w:after="0"/>
      </w:pPr>
    </w:p>
    <w:p>
      <w:r>
        <w:t xml:space="preserve">Obračunati prihodi poslovanja veći su za 83,7%</w:t>
      </w:r>
    </w:p>
    <w:p/>
    <w:p>
      <w:pPr>
        <w:jc w:val="center"/>
        <w:pStyle w:val="Normal"/>
        <w:spacing w:line="240" w:lineRule="auto"/>
        <w:keepNext/>
      </w:pPr>
      <w:r>
        <w:rPr>
          <w:sz w:val="28"/>
          <w:rFonts w:ascii="Times New Roman" w:hAnsi="Times New Roman"/>
        </w:rPr>
        <w:t xml:space="preserve">Bilješka 137.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(šifre 971 do 974)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w:t>
            </w:r>
          </w:p>
        </w:tc>
      </w:tr>
    </w:tbl>
    <w:p>
      <w:pPr>
        <w:spacing w:before="0" w:after="0"/>
      </w:pPr>
    </w:p>
    <w:p>
      <w:r>
        <w:t xml:space="preserve">Obračunati prihodi od prodaje nefinancijske imovine manji su 30,8%</w:t>
      </w:r>
    </w:p>
    <w:p/>
    <w:p>
      <w:pPr>
        <w:jc w:val="center"/>
        <w:pStyle w:val="Normal"/>
        <w:spacing w:line="240" w:lineRule="auto"/>
        <w:keepNext/>
      </w:pPr>
      <w:r>
        <w:rPr>
          <w:sz w:val="28"/>
          <w:rFonts w:ascii="Times New Roman" w:hAnsi="Times New Roman"/>
        </w:rPr>
        <w:t xml:space="preserve">Bilješka 138.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9.307.415,79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9.307.415,79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Tuđa imovina dobivena na korištenje odnosi se na poljoprivredno zemljište u vlasništvu RH.</w:t>
      </w:r>
    </w:p>
    <w:p/>
    <w:p>
      <w:pPr>
        <w:jc w:val="center"/>
        <w:pStyle w:val="Normal"/>
        <w:spacing w:line="240" w:lineRule="auto"/>
        <w:keepNext/>
      </w:pPr>
      <w:r>
        <w:rPr>
          <w:sz w:val="28"/>
          <w:rFonts w:ascii="Times New Roman" w:hAnsi="Times New Roman"/>
        </w:rPr>
        <w:t xml:space="preserve">Bilješka 139.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nabavljena iz operativnog najma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Dugotrajna nefinancijska imovina nabavljena iz operativnog najma odnosi se na službeno vozilo marke Škoda Octavia 1,5 Ambition.</w:t>
      </w:r>
    </w:p>
    <w:p/>
    <w:p>
      <w:pPr>
        <w:jc w:val="center"/>
        <w:pStyle w:val="Normal"/>
        <w:spacing w:line="240" w:lineRule="auto"/>
        <w:keepNext/>
      </w:pPr>
      <w:r>
        <w:rPr>
          <w:sz w:val="28"/>
          <w:rFonts w:ascii="Times New Roman" w:hAnsi="Times New Roman"/>
        </w:rPr>
        <w:t xml:space="preserve">Bilješka 140.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10.926.582,73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14.083.384,22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w:t>
            </w:r>
          </w:p>
        </w:tc>
      </w:tr>
    </w:tbl>
    <w:p>
      <w:pPr>
        <w:spacing w:before="0" w:after="0"/>
      </w:pPr>
    </w:p>
    <w:p>
      <w:r>
        <w:t xml:space="preserve">Instrumenti osiguranja plaćanja čine dane bjanko zadužnice u iznosu od 5.457.277,86 eura, dane mjenične izjave u iznosu od 679.296,46 eura, dane zadužnice za zakup poslovnog prostora u iznosu od 66.361,40 eura, dano jamstvo za prodaju robe tvrtki Slatina plus d.o.o. u iznosu od 6.636,14 eura, primljene bankovne garancije u iznosu od 2.600.801,69 eura, primljene bjanko zadužnice u iznosu od 4.262.305,71 euro, primljene zadužnice za vodoopskrbu u iznosu od 6.012,31 euro, primljene zadužnice za odvodnju u iznosu od 21.142,64 eura, primljene zadužnice za povrat stipendija u iznosu od 184.196,56 eura, primljene mjenične izjave 539.667,31 euro, primljena zadužnica za zakup garaže u iznosu od 1.327,22 eura, primljene zadužnice za stambeno zbrinjavanje mladih obitelji 218.851,06 eura, primljene zadužnice za zakup poslovnog prostora 17.608,61 euro, primljene zadužnice za zakup lokacije za kiosk 6.636,14 eura, primljene zadužnice za zakup poslovne građevine 1.990,83 eura i primljene zadužnice za zakup zemljišta u vlasništvu RH u iznosu od 13.272,28 eura.</w:t>
      </w:r>
    </w:p>
    <w:p/>
    <w:p>
      <w:pPr>
        <w:jc w:val="center"/>
        <w:pStyle w:val="Normal"/>
        <w:spacing w:line="240" w:lineRule="auto"/>
        <w:keepNext/>
      </w:pPr>
      <w:r>
        <w:rPr>
          <w:sz w:val="28"/>
          <w:rFonts w:ascii="Times New Roman" w:hAnsi="Times New Roman"/>
        </w:rPr>
        <w:t xml:space="preserve">Bilješka 141.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228.679,80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228.675,05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Potencijalne obveze po osnovi sudskih sporova u tijeku iznose 228.675,05 eura kako je prikazano u nastavku.</w:t>
      </w:r>
    </w:p>
    <w:tbl>
      <w:tblPr>
        <w:tblStyle w:val="TableGrid"/>
        <w:tblW w:w="5000" w:type="pct"/>
      </w:tblPr>
      <w:tblGrid>
        <w:gridCol w:w="1241"/>
        <w:gridCol w:w="8382"/>
      </w:tblGrid>
      <w:tr>
        <w:trPr>
          <w:trHeight w:val="542" w:hRule="atLeast"/>
        </w:trPr>
        <w:tc>
          <w:tcPr>
            <w:tcW w:w="644" w:type="pct"/>
            <w:vAlign w:val="center"/>
          </w:tcPr>
          <w:p>
            <w:pPr>
              <w:keepNext/>
              <w:jc w:val="center"/>
            </w:pPr>
            <w:r>
              <w:rPr>
                <w:b/>
              </w:rPr>
              <w:t xml:space="preserve">vrijednost</w:t>
            </w:r>
          </w:p>
        </w:tc>
        <w:tc>
          <w:tcPr>
            <w:tcW w:w="4355" w:type="pct"/>
            <w:vAlign w:val="center"/>
          </w:tcPr>
          <w:p>
            <w:pPr>
              <w:keepNext/>
              <w:jc w:val="center"/>
            </w:pPr>
            <w:r>
              <w:rPr>
                <w:b/>
              </w:rPr>
              <w:t xml:space="preserve">napomena</w:t>
            </w:r>
          </w:p>
        </w:tc>
      </w:tr>
      <w:tr>
        <w:trPr>
          <w:trHeight w:val="542" w:hRule="atLeast"/>
        </w:trPr>
        <w:tc>
          <w:tcPr>
            <w:tcW w:w="644" w:type="pct"/>
            <w:vAlign w:val="center"/>
          </w:tcPr>
          <w:p>
            <w:pPr>
              <w:keepNext/>
              <w:jc w:val="right"/>
            </w:pPr>
            <w:r>
              <w:t xml:space="preserve">6.636,01</w:t>
            </w:r>
          </w:p>
        </w:tc>
        <w:tc>
          <w:tcPr>
            <w:tcW w:w="4355" w:type="pct"/>
            <w:vAlign w:val="center"/>
          </w:tcPr>
          <w:p>
            <w:r>
              <w:t xml:space="preserve">Gradu je tužba dostavljena od strane fizičke osobe 21.12.2021.g. i u njoj tužitelj traži isplatu zakonskih kamata i naknade temeljem Rješenja VPŽ, Upravnog odjela za graditeljstvo, zaštitu okoliša i imovinsko-pravne poslove, Klasa:UP/I-943-01/20-01/02, Urbroj:2189/1-08/16-21-38 od 27.10.2021.g., kojim mu je dodijeljena naknada za nacionalizirano i deposjedirano zemljište. Tužitelj potražuje 6.636,01 eur + kamate na taj iznos od 1990.g. Tužitelj je istaknuo da mu Grad ne želi platiti kamate od 1990.g. koje iznose nekoliko milijuna kuna. Tužitelj je prije odbio primitak isplate naknade putem pošte, a IBAN ne želi dostaviti. Održano je nekoliko ročišta godišnje na sudu od 2021.g. do 2025.g., doneseno je nekoliko prvostupanjskih presuda kojom se tužba odbacuje, no nakon žalbe tužitelja na presudu predmet je s drugostupanjskog suda vraćen na prvostupanjski. Dana 12.12.2025.g. donesena je zadnja presuda u korist Grada kojom se odbija tužbeni zahtjev, na koju tužitelj ima pravo žalbe tj. presuda je zasad nepravomoćna. Grad nije zastupao odvjetnik već službenica Grada, a tužitelj se sam zastupa pa nema troškova za odvjetničke usluge.</w:t>
            </w:r>
          </w:p>
        </w:tc>
      </w:tr>
      <w:tr>
        <w:trPr/>
        <w:tc>
          <w:tcPr>
            <w:tcW w:w="644" w:type="pct"/>
            <w:vAlign w:val="center"/>
          </w:tcPr>
          <w:p>
            <w:pPr>
              <w:keepNext/>
              <w:jc w:val="right"/>
            </w:pPr>
            <w:r>
              <w:t xml:space="preserve">222.004,84</w:t>
            </w:r>
          </w:p>
        </w:tc>
        <w:tc>
          <w:tcPr>
            <w:tcW w:w="4355" w:type="pct"/>
            <w:vAlign w:val="center"/>
          </w:tcPr>
          <w:p>
            <w:r>
              <w:t xml:space="preserve">Grad je putem odvjetnika podnio tužbu prema Hrvatskom Telekomu d.d. Zagreb, Radnička cesta 21, OIB:81793146560, radi isplate neisplaćene naknade za pravo puta. Visoki trgovački sud 13.11.2024.g. presudom Posl.broj:PŽ-2680/2023-3 presudio je da se odbija tuženikova žalba i potvrđuje presuda Trgovačkog suda u Zagrebu Posl.broj:P-2370/22-13 od 3.5.2023. u točkama I. i II. izreke</w:t>
            </w:r>
          </w:p>
        </w:tc>
      </w:tr>
      <w:tr>
        <w:trPr/>
        <w:tc>
          <w:tcPr>
            <w:tcW w:w="644" w:type="pct"/>
            <w:vAlign w:val="center"/>
          </w:tcPr>
          <w:p>
            <w:pPr>
              <w:keepNext/>
              <w:jc w:val="right"/>
            </w:pPr>
            <w:r>
              <w:t xml:space="preserve">34,20</w:t>
            </w:r>
          </w:p>
        </w:tc>
        <w:tc>
          <w:tcPr>
            <w:tcW w:w="4355" w:type="pct"/>
            <w:vAlign w:val="center"/>
          </w:tcPr>
          <w:p>
            <w:r>
              <w:t xml:space="preserve">Grad je 27.9.2024.g. Sudu dostavio odgovor na tužbu HEP Elektre d.o.o. Zagreb OIB:43965974818, kojom predlaže odbijanje tužbenog zahtjeva po nekoliko osnova. Prvo ročište održano je 4.2.2025.g. Sud je 13.2.2025.g. donio presudu u korist Grada kojom se odbija tužbeni zahtjev. Presuda je pravomoćna. Grad nije zastupao odvjetnik već službenica Grada pa nema troškova odvjetničke usluge, niti snosi parnični trošak (trošak HEP-ovog odvjetnika + sudske pristojbe) s obzirom da je uspio u sporu.</w:t>
            </w:r>
          </w:p>
        </w:tc>
      </w:tr>
      <w:tr>
        <w:trPr/>
        <w:tc>
          <w:tcPr>
            <w:tcW w:w="644" w:type="pct"/>
            <w:vAlign w:val="center"/>
          </w:tcPr>
          <w:p>
            <w:pPr>
              <w:keepNext/>
              <w:jc w:val="right"/>
            </w:pPr>
            <w:r>
              <w:rPr>
                <w:b/>
              </w:rPr>
              <w:t xml:space="preserve">228.675,05</w:t>
            </w:r>
          </w:p>
        </w:tc>
        <w:tc>
          <w:tcPr>
            <w:tcW w:w="4355" w:type="pct"/>
            <w:vAlign w:val="center"/>
          </w:tcPr>
          <w:p>
            <w:pPr>
              <w:keepNext/>
              <w:jc w:val="left"/>
            </w:pPr>
            <w:r>
              <w:rPr>
                <w:b/>
              </w:rPr>
              <w:t xml:space="preserve">UKUPNO</w:t>
            </w:r>
          </w:p>
        </w:tc>
      </w:tr>
    </w:tbl>
    <w:p>
      <w:r>
        <w:t xml:space="preserve"> </w:t>
      </w:r>
    </w:p>
    <w:p/>
    <w:p>
      <w:pPr>
        <w:jc w:val="center"/>
        <w:pStyle w:val="Normal"/>
        <w:spacing w:line="240" w:lineRule="auto"/>
        <w:keepNext/>
      </w:pPr>
      <w:r>
        <w:rPr>
          <w:sz w:val="28"/>
          <w:rFonts w:ascii="Times New Roman" w:hAnsi="Times New Roman"/>
        </w:rPr>
        <w:t xml:space="preserve">Bilješka 142.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1.715.199,97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4.486.139,46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261,6</w:t>
            </w:r>
          </w:p>
        </w:tc>
      </w:tr>
    </w:tbl>
    <w:p>
      <w:pPr>
        <w:spacing w:before="0" w:after="0"/>
      </w:pPr>
    </w:p>
    <w:p>
      <w:r>
        <w:t xml:space="preserve">Preuzete obveze po ugovorima iznose 4.486.139,46 eura, a sastoje se od Ugovora za izradu prostornih planova u iznosu od 27.750,00 eura, Ugovora za rekonstrukciju ceste Mirna I 164.022,91 euro, nadzor za radove nad rekonstrukcijom ceste Mirna I 3.608,50 eura, Projektna dokumentacija za rekonstrukciju doma G. Miholjac u iznosu od 14.100,00 eura, Ugovor za projektnu dokumentaciju sanacije klizišta u Ulici M. Trnine 9.290,60 eura, izvedbeni projekt multimedije u iznosu od 75.000,00 eura, projektiranje Centra za upravljanje rizicima 5.000,00 eura, sufinanciranje aglomeracije 687.486,97 eura, rekonstrukcija JR u Gornjem gradu 26.151,04 eura, nadzor JR u Gornjem gradu 3.737,50 eura, projekt zip-linea na TRK Javorica 16.250,00 eura, sanacija odlagališta otpada Radosavci 347.391,32 eura, nadzor nad sanacijom odlagališta Radosavci 8.848,12 eura, izgradnja Područnog dječjeg vrtića 3.070.891,25 eura i nadzor nad izgradnjom Područnog dječjeg vrtića 26.611,25 eura.</w:t>
      </w:r>
    </w:p>
    <w:p/>
    <w:p>
      <w:pPr>
        <w:jc w:val="center"/>
        <w:pStyle w:val="Normal"/>
        <w:spacing w:line="240" w:lineRule="auto"/>
        <w:keepNext/>
      </w:pPr>
      <w:r>
        <w:rPr>
          <w:sz w:val="28"/>
          <w:rFonts w:ascii="Times New Roman" w:hAnsi="Times New Roman"/>
        </w:rPr>
        <w:t xml:space="preserve">Bilješka 143.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dodjeli bespovratnih sredstava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Preuzete obveze po ugovorima o dodjeli bespovratnih sredstava iz EU fondova čine obvezu tvrtki Vollea za postupak javne nabave projekta Športske dvorane u iznosu od 6.900,00 eura i tvrtke Trotočka po Ugovoru za promidžbu i vidljivost projekta u iznosu od 8.275,00 eura.</w:t>
      </w:r>
    </w:p>
    <w:p/>
    <w:p>
      <w:pPr>
        <w:jc w:val="center"/>
        <w:pStyle w:val="Normal"/>
        <w:spacing w:line="240" w:lineRule="auto"/>
        <w:keepNext/>
      </w:pPr>
      <w:r>
        <w:rPr>
          <w:sz w:val="28"/>
          <w:rFonts w:ascii="Times New Roman" w:hAnsi="Times New Roman"/>
        </w:rPr>
        <w:t xml:space="preserve">Bilješka 144.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5.066.197,15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po ugovorima o dodijeljenim bespovratnim sredstvima iz EU fondova sastoje se od potraživanja za Projekt "Zamisli muzej za sve" u iznosu od 4.569.240,76 eura i potraživanje za izgradnju Područnog dječjeg vrtića u iznosu od 496.956,39 eura.</w:t>
      </w:r>
    </w:p>
    <w:p/>
    <w:p>
      <w:pPr>
        <w:jc w:val="center"/>
        <w:pStyle w:val="Normal"/>
        <w:spacing w:line="240" w:lineRule="auto"/>
        <w:keepNext/>
      </w:pPr>
      <w:r>
        <w:rPr>
          <w:sz w:val="28"/>
          <w:rFonts w:ascii="Times New Roman" w:hAnsi="Times New Roman"/>
        </w:rPr>
        <w:t xml:space="preserve">Bilješka 145.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56.241,95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37.134,51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w:t>
            </w:r>
          </w:p>
        </w:tc>
      </w:tr>
    </w:tbl>
    <w:p>
      <w:pPr>
        <w:spacing w:before="0" w:after="0"/>
      </w:pPr>
    </w:p>
    <w:p>
      <w:r>
        <w:t xml:space="preserve">Ostali izvanbilančni zapisi sastoje se od primljenih zadužnica za obročnu otplatu stana u iznosu od 36.636,14 eura i obveze po Povelji "Put prijateljstva Vukovar-Ljubljana" u iznosu od 498,37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2.144.909,94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2.890.758,06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w:t>
            </w:r>
          </w:p>
        </w:tc>
      </w:tr>
    </w:tbl>
    <w:p>
      <w:pPr>
        <w:spacing w:before="0" w:after="0"/>
      </w:pPr>
    </w:p>
    <w:p>
      <w:r>
        <w:t xml:space="preserve">Opće i javne usluge bilježe porast od 34,8%, a čine iz rashodi izvršnih i zakonodavnih tijela koji su veći za 33,3%, rashodi općih usluga koji su 587,5% veći zbog nabave GIS informacijskog sustava i opće usluge koje nisu drugdje svrstane u iznosu od 16.676,97 eura, a odnose se na ostalu nematerijalnu proizvedenu imovinu i višegodišnje nasade dobivene kao ošasna imovina.</w:t>
      </w:r>
    </w:p>
    <w:p/>
    <w:p>
      <w:pPr>
        <w:jc w:val="center"/>
        <w:pStyle w:val="Normal"/>
        <w:spacing w:line="240" w:lineRule="auto"/>
        <w:keepNext/>
      </w:pPr>
      <w:r>
        <w:rPr>
          <w:sz w:val="28"/>
          <w:rFonts w:ascii="Times New Roman" w:hAnsi="Times New Roman"/>
        </w:rPr>
        <w:t xml:space="preserve">Bilješka 147.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Obrana (šifre 021 do 025)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w:t>
            </w:r>
          </w:p>
        </w:tc>
      </w:tr>
    </w:tbl>
    <w:p>
      <w:pPr>
        <w:spacing w:before="0" w:after="0"/>
      </w:pPr>
    </w:p>
    <w:p>
      <w:r>
        <w:t xml:space="preserve">Obrana je smanjena za 18,7%, a čine ju poslovi civilne zaštite.</w:t>
      </w:r>
    </w:p>
    <w:p/>
    <w:p>
      <w:pPr>
        <w:jc w:val="center"/>
        <w:pStyle w:val="Normal"/>
        <w:spacing w:line="240" w:lineRule="auto"/>
        <w:keepNext/>
      </w:pPr>
      <w:r>
        <w:rPr>
          <w:sz w:val="28"/>
          <w:rFonts w:ascii="Times New Roman" w:hAnsi="Times New Roman"/>
        </w:rPr>
        <w:t xml:space="preserve">Bilješka 148.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124.459,59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192.540,76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w:t>
            </w:r>
          </w:p>
        </w:tc>
      </w:tr>
    </w:tbl>
    <w:p>
      <w:pPr>
        <w:spacing w:before="0" w:after="0"/>
      </w:pPr>
    </w:p>
    <w:p>
      <w:r>
        <w:t xml:space="preserve">Javni red i sigurnost bilježi porast od 54,7%, a čine ih rashodi za Vatrogasnu zajednicu i nematerijalnu imovinu.</w:t>
      </w:r>
    </w:p>
    <w:p/>
    <w:p>
      <w:pPr>
        <w:jc w:val="center"/>
        <w:pStyle w:val="Normal"/>
        <w:spacing w:line="240" w:lineRule="auto"/>
        <w:keepNext/>
      </w:pPr>
      <w:r>
        <w:rPr>
          <w:sz w:val="28"/>
          <w:rFonts w:ascii="Times New Roman" w:hAnsi="Times New Roman"/>
        </w:rPr>
        <w:t xml:space="preserve">Bilješka 149.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844.487,82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663.263,59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w:t>
            </w:r>
          </w:p>
        </w:tc>
      </w:tr>
    </w:tbl>
    <w:p>
      <w:pPr>
        <w:spacing w:before="0" w:after="0"/>
      </w:pPr>
    </w:p>
    <w:p>
      <w:r>
        <w:t xml:space="preserve">Ekonomski poslovi bilježe pad za 21,5%, a čine ih opći ekonomski poslovi koji imaju rast od 89%, rashodi za cestovni promet koji imaju pad za 56,5% i rashodi za Turističku zajednicu koja bilježi rast za 25,2%.</w:t>
      </w:r>
    </w:p>
    <w:p/>
    <w:p>
      <w:pPr>
        <w:jc w:val="center"/>
        <w:pStyle w:val="Normal"/>
        <w:spacing w:line="240" w:lineRule="auto"/>
        <w:keepNext/>
      </w:pPr>
      <w:r>
        <w:rPr>
          <w:sz w:val="28"/>
          <w:rFonts w:ascii="Times New Roman" w:hAnsi="Times New Roman"/>
        </w:rPr>
        <w:t xml:space="preserve">Bilješka 150.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Zaštita okoliša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1.013.328,87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2.030.007,28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200,3</w:t>
            </w:r>
          </w:p>
        </w:tc>
      </w:tr>
    </w:tbl>
    <w:p>
      <w:pPr>
        <w:spacing w:before="0" w:after="0"/>
      </w:pPr>
    </w:p>
    <w:p>
      <w:r>
        <w:t xml:space="preserve">Zaštita okoliša bilježi rast od 100,3%, a čine ju poslovi gospodarenja otpadom sa porastom od 129,6%, otpadnim vodama sa porastom od 158,8% i rashodi komunalnih i ostalih usluga s porastom od 29,9%.</w:t>
      </w:r>
    </w:p>
    <w:p/>
    <w:p>
      <w:pPr>
        <w:jc w:val="center"/>
        <w:pStyle w:val="Normal"/>
        <w:spacing w:line="240" w:lineRule="auto"/>
        <w:keepNext/>
      </w:pPr>
      <w:r>
        <w:rPr>
          <w:sz w:val="28"/>
          <w:rFonts w:ascii="Times New Roman" w:hAnsi="Times New Roman"/>
        </w:rPr>
        <w:t xml:space="preserve">Bilješka 151.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287.607,99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471.156,18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w:t>
            </w:r>
          </w:p>
        </w:tc>
      </w:tr>
    </w:tbl>
    <w:p>
      <w:pPr>
        <w:spacing w:before="0" w:after="0"/>
      </w:pPr>
    </w:p>
    <w:p>
      <w:r>
        <w:t xml:space="preserve">Usluge unapređenja stanovanja i zajednice bilježe rast od 63,8%, a čine ih usluge razvoja stanovanja i zajednice te ulaganja u uličnu rasvjetu.</w:t>
      </w:r>
    </w:p>
    <w:p/>
    <w:p>
      <w:pPr>
        <w:jc w:val="center"/>
        <w:pStyle w:val="Normal"/>
        <w:spacing w:line="240" w:lineRule="auto"/>
        <w:keepNext/>
      </w:pPr>
      <w:r>
        <w:rPr>
          <w:sz w:val="28"/>
          <w:rFonts w:ascii="Times New Roman" w:hAnsi="Times New Roman"/>
        </w:rPr>
        <w:t xml:space="preserve">Bilješka 152.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Zdravstvo (šifre 071+072+073+074+075+076)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112.794,94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146.828,93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r>
        <w:t xml:space="preserve">Zdravstvo bilježi rast od 30,2%, a odnosi se na zdravstvene, veterinarske i komunalne usluge te sufinanciranje nabave medicinske opreme.</w:t>
      </w:r>
    </w:p>
    <w:p/>
    <w:p>
      <w:pPr>
        <w:jc w:val="center"/>
        <w:pStyle w:val="Normal"/>
        <w:spacing w:line="240" w:lineRule="auto"/>
        <w:keepNext/>
      </w:pPr>
      <w:r>
        <w:rPr>
          <w:sz w:val="28"/>
          <w:rFonts w:ascii="Times New Roman" w:hAnsi="Times New Roman"/>
        </w:rPr>
        <w:t xml:space="preserve">Bilješka 153.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665.370,76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1.079.123,37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w:t>
            </w:r>
          </w:p>
        </w:tc>
      </w:tr>
    </w:tbl>
    <w:p>
      <w:pPr>
        <w:spacing w:before="0" w:after="0"/>
      </w:pPr>
    </w:p>
    <w:p>
      <w:r>
        <w:t xml:space="preserve">Rekreacija, kultura i religija bilježe rast od 62,2%, a čine ih rashodi sporta, kulture i vjerskih zajednica.</w:t>
      </w:r>
    </w:p>
    <w:p/>
    <w:p>
      <w:pPr>
        <w:jc w:val="center"/>
        <w:pStyle w:val="Normal"/>
        <w:spacing w:line="240" w:lineRule="auto"/>
        <w:keepNext/>
      </w:pPr>
      <w:r>
        <w:rPr>
          <w:sz w:val="28"/>
          <w:rFonts w:ascii="Times New Roman" w:hAnsi="Times New Roman"/>
        </w:rPr>
        <w:t xml:space="preserve">Bilješka 154.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358.509,74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2.115.365,81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590,0</w:t>
            </w:r>
          </w:p>
        </w:tc>
      </w:tr>
    </w:tbl>
    <w:p>
      <w:pPr>
        <w:spacing w:before="0" w:after="0"/>
      </w:pPr>
    </w:p>
    <w:p>
      <w:r>
        <w:t xml:space="preserve">Obrazovanje bilježi rast od 490%, a najveći dio troškova nosi izgradnja Područnog dječjeg vrtića i subvencije Dječjem vrtiću Suncokret.</w:t>
      </w:r>
    </w:p>
    <w:p/>
    <w:p>
      <w:pPr>
        <w:jc w:val="center"/>
        <w:pStyle w:val="Normal"/>
        <w:spacing w:line="240" w:lineRule="auto"/>
        <w:keepNext/>
      </w:pPr>
      <w:r>
        <w:rPr>
          <w:sz w:val="28"/>
          <w:rFonts w:ascii="Times New Roman" w:hAnsi="Times New Roman"/>
        </w:rPr>
        <w:t xml:space="preserve">Bilješka 155.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zaštita (šifre 101+102+103+104+105+106+107+108+109)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480.701,69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692.352,92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w:t>
            </w:r>
          </w:p>
        </w:tc>
      </w:tr>
    </w:tbl>
    <w:p>
      <w:pPr>
        <w:spacing w:before="0" w:after="0"/>
      </w:pPr>
    </w:p>
    <w:p>
      <w:r>
        <w:t xml:space="preserve">Socijalna zaštita bilježi rast od 44%, a sadrži naknade građanima i kućanstvima u novcu i naravi i donacije udrugama.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1.652.553,49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396.664,26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w:t>
            </w:r>
          </w:p>
        </w:tc>
      </w:tr>
    </w:tbl>
    <w:p>
      <w:pPr>
        <w:spacing w:before="0" w:after="0"/>
      </w:pPr>
    </w:p>
    <w:p>
      <w:r>
        <w:t xml:space="preserve">Neproizvedena dugotrajna imovina na strani povećanja bilježi iznos od 1.652.553,49 eura što čini povećanje vrijednosti zemljišta u Ulici I. Brlić Mažuranić zbog nove parcelacije u iznosu od 209.649,70 eura, povećanje vrijednosti zemljišta po Procjembenom elaboratu zatraženom od Suda u iznosu od 3.093,79 eura i povećanje vrijednosti zemljišta po parcelaciji u PZ Lipik u iznosu od 1.439.810,00 eura.</w:t>
      </w:r>
    </w:p>
    <w:p>
      <w:r>
        <w:t xml:space="preserve">Neproizvedena dugotrajna imovina na strani smanjenja bilježi iznos od 396.664,26 eura što čini smanjenje vrijednosti zemljišta u Ulici I. B. Mažuranić po Procjembenom elaboratu u iznosu od 5.092,16 eura i isknjiženje poljoprivrednog zemljišta u PZ Lipik zbog nove parcelacije u iznosu od 391.572,10 eura.</w:t>
      </w:r>
    </w:p>
    <w:p/>
    <w:p>
      <w:pPr>
        <w:jc w:val="center"/>
        <w:pStyle w:val="Normal"/>
        <w:spacing w:line="240" w:lineRule="auto"/>
        <w:keepNext/>
      </w:pPr>
      <w:r>
        <w:rPr>
          <w:sz w:val="28"/>
          <w:rFonts w:ascii="Times New Roman" w:hAnsi="Times New Roman"/>
        </w:rPr>
        <w:t xml:space="preserve">Bilješka 157.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909.025,54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Proizvedena dugotrajna imovina na strani povećanja bilježi iznos od 7.335,11 eura, a čini ju povećanje vrijednosti građevine po Procjembenom elaboratu zatraženom od suda.</w:t>
      </w:r>
    </w:p>
    <w:p>
      <w:r>
        <w:t xml:space="preserve">Proizvedena dugotrajna imovina na strani smanjenja bilježi iznos od 909.025,54 eura, a čini ju obračun ispravka vrijednosti nefinancijske imovine.</w:t>
      </w:r>
    </w:p>
    <w:p/>
    <w:p>
      <w:pPr>
        <w:jc w:val="center"/>
        <w:pStyle w:val="Normal"/>
        <w:spacing w:line="240" w:lineRule="auto"/>
        <w:keepNext/>
      </w:pPr>
      <w:r>
        <w:rPr>
          <w:sz w:val="28"/>
          <w:rFonts w:ascii="Times New Roman" w:hAnsi="Times New Roman"/>
        </w:rPr>
        <w:t xml:space="preserve">Bilješka 158.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Proizvedena dugotrajna imovina na strani smanjenja bilježi iznos od 60.253,60 eura, a čini ju smanjenje obujma za prodanu zgradu u središtu Grada Slatine.</w:t>
      </w:r>
    </w:p>
    <w:p/>
    <w:p>
      <w:pPr>
        <w:jc w:val="center"/>
        <w:pStyle w:val="Normal"/>
        <w:spacing w:line="240" w:lineRule="auto"/>
        <w:keepNext/>
      </w:pPr>
      <w:r>
        <w:rPr>
          <w:sz w:val="28"/>
          <w:rFonts w:ascii="Times New Roman" w:hAnsi="Times New Roman"/>
        </w:rPr>
        <w:t xml:space="preserve">Bilješka 159.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na strani smanjenja bilježe iznos od 1.579,81 euro, a sastoje se od obveza za električnu energiju i naknadu gradskom vijećniku za rad u Gradskom vijeću otpisanim po inventuri.</w:t>
      </w:r>
    </w:p>
    <w:p/>
    <w:p>
      <w:pPr>
        <w:jc w:val="center"/>
        <w:pStyle w:val="Normal"/>
        <w:spacing w:line="240" w:lineRule="auto"/>
        <w:keepNext/>
      </w:pPr>
      <w:r>
        <w:rPr>
          <w:sz w:val="28"/>
          <w:rFonts w:ascii="Times New Roman" w:hAnsi="Times New Roman"/>
        </w:rPr>
        <w:t xml:space="preserve">Bilješka 160.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za nabavu nefinancijske imovine na strani smanjenja odnosi se na otpis obveze za nabavu uredskog namještaja po inventuri.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549.278,24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međusobnih obveza sastoji se od povećanja obveza Državnom proračunu za 55% sredstava od prodaje stanova u iznosu od 796,45 eura i obveza prema proračunskim korisnicima u iznosu od 548.481,79 eura.</w:t>
      </w:r>
    </w:p>
    <w:p/>
    <w:p>
      <w:pPr>
        <w:jc w:val="center"/>
        <w:pStyle w:val="Normal"/>
        <w:spacing w:line="240" w:lineRule="auto"/>
        <w:keepNext/>
      </w:pPr>
      <w:r>
        <w:rPr>
          <w:sz w:val="28"/>
          <w:rFonts w:ascii="Times New Roman" w:hAnsi="Times New Roman"/>
        </w:rPr>
        <w:t xml:space="preserve">Bilješka 162.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538.370,66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subjekata općeg proračuna sastoje se od podmirenih obveza prema Državnom proračunu za 55% sredstava od prodaje stanova u iznosu od 967,96 eura i prenešena sredstva proračunskim korisnicima u iznosu od 537.402,70 eura.</w:t>
      </w:r>
    </w:p>
    <w:p/>
    <w:p>
      <w:pPr>
        <w:jc w:val="center"/>
        <w:pStyle w:val="Normal"/>
        <w:spacing w:line="240" w:lineRule="auto"/>
        <w:keepNext/>
      </w:pPr>
      <w:r>
        <w:rPr>
          <w:sz w:val="28"/>
          <w:rFonts w:ascii="Times New Roman" w:hAnsi="Times New Roman"/>
        </w:rPr>
        <w:t xml:space="preserve">Bilješka 163.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314.795,58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tbl>
      <w:tblPr>
        <w:tblStyle w:val="TableGrid"/>
        <w:tblW w:w="5000" w:type="pct"/>
      </w:tblPr>
      <w:tblGrid>
        <w:gridCol w:w="3208"/>
        <w:gridCol w:w="4170"/>
        <w:gridCol w:w="2246"/>
      </w:tblGrid>
      <w:tr>
        <w:trPr/>
        <w:tc>
          <w:tcPr>
            <w:tcW w:w="1666" w:type="pct"/>
            <w:vAlign w:val="center"/>
          </w:tcPr>
          <w:p>
            <w:r>
              <w:rPr>
                <w:b/>
              </w:rPr>
              <w:t xml:space="preserve">oznaka</w:t>
            </w:r>
          </w:p>
        </w:tc>
        <w:tc>
          <w:tcPr>
            <w:tcW w:w="2166" w:type="pct"/>
            <w:vAlign w:val="center"/>
          </w:tcPr>
          <w:p>
            <w:r>
              <w:rPr>
                <w:b/>
              </w:rPr>
              <w:t xml:space="preserve">opis</w:t>
            </w:r>
          </w:p>
        </w:tc>
        <w:tc>
          <w:tcPr>
            <w:tcW w:w="1166" w:type="pct"/>
            <w:vAlign w:val="center"/>
          </w:tcPr>
          <w:p>
            <w:r>
              <w:rPr>
                <w:b/>
              </w:rPr>
              <w:t xml:space="preserve">iznos</w:t>
            </w:r>
          </w:p>
        </w:tc>
      </w:tr>
      <w:tr>
        <w:trPr/>
        <w:tc>
          <w:tcPr>
            <w:tcW w:w="1666" w:type="pct"/>
            <w:vAlign w:val="center"/>
          </w:tcPr>
          <w:p>
            <w:r>
              <w:t xml:space="preserve">D232</w:t>
            </w:r>
          </w:p>
        </w:tc>
        <w:tc>
          <w:tcPr>
            <w:tcW w:w="2166" w:type="pct"/>
            <w:vAlign w:val="center"/>
          </w:tcPr>
          <w:p>
            <w:r>
              <w:t xml:space="preserve">Obveze za materijalne rashode - prema dobavljačima</w:t>
            </w:r>
          </w:p>
        </w:tc>
        <w:tc>
          <w:tcPr>
            <w:tcW w:w="1166" w:type="pct"/>
            <w:vAlign w:val="center"/>
          </w:tcPr>
          <w:p>
            <w:pPr>
              <w:keepNext/>
              <w:jc w:val="right"/>
            </w:pPr>
            <w:r>
              <w:t xml:space="preserve">180.542,37</w:t>
            </w:r>
          </w:p>
        </w:tc>
      </w:tr>
      <w:tr>
        <w:trPr/>
        <w:tc>
          <w:tcPr>
            <w:tcW w:w="1666" w:type="pct"/>
            <w:vAlign w:val="center"/>
          </w:tcPr>
          <w:p>
            <w:r>
              <w:t xml:space="preserve">D237</w:t>
            </w:r>
          </w:p>
        </w:tc>
        <w:tc>
          <w:tcPr>
            <w:tcW w:w="2166" w:type="pct"/>
            <w:vAlign w:val="center"/>
          </w:tcPr>
          <w:p>
            <w:r>
              <w:t xml:space="preserve">Obveze za naknade građanima i kućanstvima - prema dobavljačima</w:t>
            </w:r>
          </w:p>
        </w:tc>
        <w:tc>
          <w:tcPr>
            <w:tcW w:w="1166" w:type="pct"/>
            <w:vAlign w:val="center"/>
          </w:tcPr>
          <w:p>
            <w:pPr>
              <w:keepNext/>
              <w:jc w:val="right"/>
            </w:pPr>
            <w:r>
              <w:t xml:space="preserve">4.295,81</w:t>
            </w:r>
          </w:p>
        </w:tc>
      </w:tr>
      <w:tr>
        <w:trPr/>
        <w:tc>
          <w:tcPr>
            <w:tcW w:w="1666" w:type="pct"/>
            <w:vAlign w:val="center"/>
          </w:tcPr>
          <w:p>
            <w:r>
              <w:t xml:space="preserve">D24</w:t>
            </w:r>
          </w:p>
        </w:tc>
        <w:tc>
          <w:tcPr>
            <w:tcW w:w="2166" w:type="pct"/>
            <w:vAlign w:val="center"/>
          </w:tcPr>
          <w:p>
            <w:r>
              <w:t xml:space="preserve">Obveze za nabavu nefinancijske imovine - prema dobavljačima</w:t>
            </w:r>
          </w:p>
        </w:tc>
        <w:tc>
          <w:tcPr>
            <w:tcW w:w="1166" w:type="pct"/>
            <w:vAlign w:val="center"/>
          </w:tcPr>
          <w:p>
            <w:pPr>
              <w:keepNext/>
              <w:jc w:val="right"/>
            </w:pPr>
            <w:r>
              <w:t xml:space="preserve">129.957,40</w:t>
            </w:r>
          </w:p>
        </w:tc>
      </w:tr>
    </w:tbl>
    <w:p>
      <w:r>
        <w:t xml:space="preserve"> </w:t>
      </w:r>
    </w:p>
    <w:p/>
    <w:p>
      <w:pPr>
        <w:jc w:val="center"/>
        <w:pStyle w:val="Normal"/>
        <w:spacing w:line="240" w:lineRule="auto"/>
        <w:keepNext/>
      </w:pPr>
      <w:r>
        <w:rPr>
          <w:sz w:val="28"/>
          <w:rFonts w:ascii="Times New Roman" w:hAnsi="Times New Roman"/>
        </w:rPr>
        <w:t xml:space="preserve">Bilješka 164.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2.379.810,72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tbl>
      <w:tblPr>
        <w:tblStyle w:val="TableGrid"/>
        <w:tblW w:w="5000" w:type="pct"/>
      </w:tblPr>
      <w:tblGrid>
        <w:gridCol w:w="2406"/>
        <w:gridCol w:w="4677"/>
        <w:gridCol w:w="2541"/>
      </w:tblGrid>
      <w:tr>
        <w:trPr/>
        <w:tc>
          <w:tcPr>
            <w:tcW w:w="1250" w:type="pct"/>
            <w:vAlign w:val="center"/>
          </w:tcPr>
          <w:p>
            <w:r>
              <w:rPr>
                <w:b/>
              </w:rPr>
              <w:t xml:space="preserve">oznaka</w:t>
            </w:r>
          </w:p>
        </w:tc>
        <w:tc>
          <w:tcPr>
            <w:tcW w:w="2430" w:type="pct"/>
            <w:vAlign w:val="center"/>
          </w:tcPr>
          <w:p>
            <w:r>
              <w:rPr>
                <w:b/>
              </w:rPr>
              <w:t xml:space="preserve">opis</w:t>
            </w:r>
          </w:p>
        </w:tc>
        <w:tc>
          <w:tcPr>
            <w:tcW w:w="1319" w:type="pct"/>
            <w:vAlign w:val="center"/>
          </w:tcPr>
          <w:p>
            <w:r>
              <w:rPr>
                <w:b/>
              </w:rPr>
              <w:t xml:space="preserve">iznos</w:t>
            </w:r>
          </w:p>
        </w:tc>
      </w:tr>
      <w:tr>
        <w:trPr/>
        <w:tc>
          <w:tcPr>
            <w:tcW w:w="1250" w:type="pct"/>
            <w:vAlign w:val="center"/>
          </w:tcPr>
          <w:p>
            <w:r>
              <w:rPr>
                <w:b/>
              </w:rPr>
              <w:t xml:space="preserve">V010</w:t>
            </w:r>
          </w:p>
        </w:tc>
        <w:tc>
          <w:tcPr>
            <w:tcW w:w="2430" w:type="pct"/>
            <w:vAlign w:val="center"/>
          </w:tcPr>
          <w:p>
            <w:r>
              <w:rPr>
                <w:b/>
              </w:rPr>
              <w:t xml:space="preserve">međusobne obveze subjekata općeg proračuna</w:t>
            </w:r>
          </w:p>
        </w:tc>
        <w:tc>
          <w:tcPr>
            <w:tcW w:w="1319" w:type="pct"/>
            <w:vAlign w:val="center"/>
          </w:tcPr>
          <w:p>
            <w:pPr>
              <w:keepNext/>
              <w:jc w:val="right"/>
            </w:pPr>
            <w:r>
              <w:rPr>
                <w:b/>
              </w:rPr>
              <w:t xml:space="preserve">179.860,40</w:t>
            </w:r>
          </w:p>
        </w:tc>
      </w:tr>
      <w:tr>
        <w:trPr/>
        <w:tc>
          <w:tcPr>
            <w:tcW w:w="1250" w:type="pct"/>
            <w:vAlign w:val="center"/>
          </w:tcPr>
          <w:p>
            <w:r>
              <w:rPr>
                <w:b/>
              </w:rPr>
              <w:t xml:space="preserve">ND23</w:t>
            </w:r>
          </w:p>
        </w:tc>
        <w:tc>
          <w:tcPr>
            <w:tcW w:w="2430" w:type="pct"/>
            <w:vAlign w:val="center"/>
          </w:tcPr>
          <w:p>
            <w:r>
              <w:rPr>
                <w:b/>
              </w:rPr>
              <w:t xml:space="preserve">Obveze za rashode poslovanja </w:t>
            </w:r>
          </w:p>
        </w:tc>
        <w:tc>
          <w:tcPr>
            <w:tcW w:w="1319" w:type="pct"/>
            <w:vAlign w:val="center"/>
          </w:tcPr>
          <w:p>
            <w:pPr>
              <w:keepNext/>
              <w:jc w:val="right"/>
            </w:pPr>
            <w:r>
              <w:rPr>
                <w:b/>
              </w:rPr>
              <w:t xml:space="preserve">653.983,59</w:t>
            </w:r>
          </w:p>
        </w:tc>
      </w:tr>
      <w:tr>
        <w:trPr/>
        <w:tc>
          <w:tcPr>
            <w:tcW w:w="1250" w:type="pct"/>
            <w:vAlign w:val="center"/>
          </w:tcPr>
          <w:p>
            <w:r>
              <w:t xml:space="preserve"> </w:t>
            </w:r>
          </w:p>
        </w:tc>
        <w:tc>
          <w:tcPr>
            <w:tcW w:w="2430" w:type="pct"/>
            <w:vAlign w:val="center"/>
          </w:tcPr>
          <w:p>
            <w:r>
              <w:t xml:space="preserve">ulazni računi</w:t>
            </w:r>
          </w:p>
        </w:tc>
        <w:tc>
          <w:tcPr>
            <w:tcW w:w="1319" w:type="pct"/>
            <w:vAlign w:val="center"/>
          </w:tcPr>
          <w:p>
            <w:pPr>
              <w:keepNext/>
              <w:jc w:val="right"/>
            </w:pPr>
            <w:r>
              <w:t xml:space="preserve">270.803,68</w:t>
            </w:r>
          </w:p>
        </w:tc>
      </w:tr>
      <w:tr>
        <w:trPr/>
        <w:tc>
          <w:tcPr>
            <w:tcW w:w="1250" w:type="pct"/>
            <w:vAlign w:val="center"/>
          </w:tcPr>
          <w:p>
            <w:r>
              <w:t xml:space="preserve"> </w:t>
            </w:r>
          </w:p>
        </w:tc>
        <w:tc>
          <w:tcPr>
            <w:tcW w:w="2430" w:type="pct"/>
            <w:vAlign w:val="center"/>
          </w:tcPr>
          <w:p>
            <w:r>
              <w:t xml:space="preserve">obveze za Lokalnu akcijsku grupu "Marinianis"</w:t>
            </w:r>
          </w:p>
        </w:tc>
        <w:tc>
          <w:tcPr>
            <w:tcW w:w="1319" w:type="pct"/>
            <w:vAlign w:val="center"/>
          </w:tcPr>
          <w:p>
            <w:pPr>
              <w:keepNext/>
              <w:jc w:val="right"/>
            </w:pPr>
            <w:r>
              <w:t xml:space="preserve">5.200,00</w:t>
            </w:r>
          </w:p>
        </w:tc>
      </w:tr>
      <w:tr>
        <w:trPr/>
        <w:tc>
          <w:tcPr>
            <w:tcW w:w="1250" w:type="pct"/>
            <w:vAlign w:val="center"/>
          </w:tcPr>
          <w:p>
            <w:r>
              <w:t xml:space="preserve"> </w:t>
            </w:r>
          </w:p>
        </w:tc>
        <w:tc>
          <w:tcPr>
            <w:tcW w:w="2430" w:type="pct"/>
            <w:vAlign w:val="center"/>
          </w:tcPr>
          <w:p>
            <w:r>
              <w:t xml:space="preserve">obveze za Odred izviđača "Lisice"</w:t>
            </w:r>
          </w:p>
        </w:tc>
        <w:tc>
          <w:tcPr>
            <w:tcW w:w="1319" w:type="pct"/>
            <w:vAlign w:val="center"/>
          </w:tcPr>
          <w:p>
            <w:pPr>
              <w:keepNext/>
              <w:jc w:val="right"/>
            </w:pPr>
            <w:r>
              <w:t xml:space="preserve">600,00</w:t>
            </w:r>
          </w:p>
        </w:tc>
      </w:tr>
      <w:tr>
        <w:trPr/>
        <w:tc>
          <w:tcPr>
            <w:tcW w:w="1250" w:type="pct"/>
            <w:vAlign w:val="center"/>
          </w:tcPr>
          <w:p>
            <w:r>
              <w:t xml:space="preserve"> </w:t>
            </w:r>
          </w:p>
        </w:tc>
        <w:tc>
          <w:tcPr>
            <w:tcW w:w="2430" w:type="pct"/>
            <w:vAlign w:val="center"/>
          </w:tcPr>
          <w:p>
            <w:r>
              <w:t xml:space="preserve">obveze za SŠ M. Marulića</w:t>
            </w:r>
          </w:p>
        </w:tc>
        <w:tc>
          <w:tcPr>
            <w:tcW w:w="1319" w:type="pct"/>
            <w:vAlign w:val="center"/>
          </w:tcPr>
          <w:p>
            <w:pPr>
              <w:keepNext/>
              <w:jc w:val="right"/>
            </w:pPr>
            <w:r>
              <w:t xml:space="preserve">500,00</w:t>
            </w:r>
          </w:p>
        </w:tc>
      </w:tr>
      <w:tr>
        <w:trPr/>
        <w:tc>
          <w:tcPr>
            <w:tcW w:w="1250" w:type="pct"/>
            <w:vAlign w:val="center"/>
          </w:tcPr>
          <w:p>
            <w:r>
              <w:t xml:space="preserve"> </w:t>
            </w:r>
          </w:p>
        </w:tc>
        <w:tc>
          <w:tcPr>
            <w:tcW w:w="2430" w:type="pct"/>
            <w:vAlign w:val="center"/>
          </w:tcPr>
          <w:p>
            <w:r>
              <w:t xml:space="preserve">obveze za redovan rad Vijeća srpske nacionalne manjine</w:t>
            </w:r>
          </w:p>
        </w:tc>
        <w:tc>
          <w:tcPr>
            <w:tcW w:w="1319" w:type="pct"/>
            <w:vAlign w:val="center"/>
          </w:tcPr>
          <w:p>
            <w:pPr>
              <w:keepNext/>
              <w:jc w:val="right"/>
            </w:pPr>
            <w:r>
              <w:t xml:space="preserve">442,41</w:t>
            </w:r>
          </w:p>
        </w:tc>
      </w:tr>
      <w:tr>
        <w:trPr/>
        <w:tc>
          <w:tcPr>
            <w:tcW w:w="1250" w:type="pct"/>
            <w:vAlign w:val="center"/>
          </w:tcPr>
          <w:p>
            <w:r>
              <w:t xml:space="preserve"> </w:t>
            </w:r>
          </w:p>
        </w:tc>
        <w:tc>
          <w:tcPr>
            <w:tcW w:w="2430" w:type="pct"/>
            <w:vAlign w:val="center"/>
          </w:tcPr>
          <w:p>
            <w:r>
              <w:t xml:space="preserve">obveze za Vatrogasnu zajednicu</w:t>
            </w:r>
          </w:p>
        </w:tc>
        <w:tc>
          <w:tcPr>
            <w:tcW w:w="1319" w:type="pct"/>
            <w:vAlign w:val="center"/>
          </w:tcPr>
          <w:p>
            <w:pPr>
              <w:keepNext/>
              <w:jc w:val="right"/>
            </w:pPr>
            <w:r>
              <w:t xml:space="preserve">3.533,22</w:t>
            </w:r>
          </w:p>
        </w:tc>
      </w:tr>
      <w:tr>
        <w:trPr/>
        <w:tc>
          <w:tcPr>
            <w:tcW w:w="1250" w:type="pct"/>
            <w:vAlign w:val="center"/>
          </w:tcPr>
          <w:p>
            <w:r>
              <w:t xml:space="preserve"> </w:t>
            </w:r>
          </w:p>
        </w:tc>
        <w:tc>
          <w:tcPr>
            <w:tcW w:w="2430" w:type="pct"/>
            <w:vAlign w:val="center"/>
          </w:tcPr>
          <w:p>
            <w:r>
              <w:t xml:space="preserve">obveze za Međunarodni festival "Dani M. Kelemena"</w:t>
            </w:r>
          </w:p>
        </w:tc>
        <w:tc>
          <w:tcPr>
            <w:tcW w:w="1319" w:type="pct"/>
            <w:vAlign w:val="center"/>
          </w:tcPr>
          <w:p>
            <w:pPr>
              <w:keepNext/>
              <w:jc w:val="right"/>
            </w:pPr>
            <w:r>
              <w:t xml:space="preserve">597,23</w:t>
            </w:r>
          </w:p>
        </w:tc>
      </w:tr>
      <w:tr>
        <w:trPr/>
        <w:tc>
          <w:tcPr>
            <w:tcW w:w="1250" w:type="pct"/>
            <w:vAlign w:val="center"/>
          </w:tcPr>
          <w:p>
            <w:r>
              <w:t xml:space="preserve"> </w:t>
            </w:r>
          </w:p>
        </w:tc>
        <w:tc>
          <w:tcPr>
            <w:tcW w:w="2430" w:type="pct"/>
            <w:vAlign w:val="center"/>
          </w:tcPr>
          <w:p>
            <w:r>
              <w:t xml:space="preserve">obveze za zamjenika gradonačelnika</w:t>
            </w:r>
          </w:p>
        </w:tc>
        <w:tc>
          <w:tcPr>
            <w:tcW w:w="1319" w:type="pct"/>
            <w:vAlign w:val="center"/>
          </w:tcPr>
          <w:p>
            <w:pPr>
              <w:keepNext/>
              <w:jc w:val="right"/>
            </w:pPr>
            <w:r>
              <w:t xml:space="preserve">1.135,20</w:t>
            </w:r>
          </w:p>
        </w:tc>
      </w:tr>
      <w:tr>
        <w:trPr/>
        <w:tc>
          <w:tcPr>
            <w:tcW w:w="1250" w:type="pct"/>
            <w:vAlign w:val="center"/>
          </w:tcPr>
          <w:p>
            <w:r>
              <w:t xml:space="preserve"> </w:t>
            </w:r>
          </w:p>
        </w:tc>
        <w:tc>
          <w:tcPr>
            <w:tcW w:w="2430" w:type="pct"/>
            <w:vAlign w:val="center"/>
          </w:tcPr>
          <w:p>
            <w:r>
              <w:t xml:space="preserve">naknada za Gradsko vijeće</w:t>
            </w:r>
          </w:p>
        </w:tc>
        <w:tc>
          <w:tcPr>
            <w:tcW w:w="1319" w:type="pct"/>
            <w:vAlign w:val="center"/>
          </w:tcPr>
          <w:p>
            <w:pPr>
              <w:keepNext/>
              <w:jc w:val="right"/>
            </w:pPr>
            <w:r>
              <w:t xml:space="preserve">824,88</w:t>
            </w:r>
          </w:p>
        </w:tc>
      </w:tr>
      <w:tr>
        <w:trPr/>
        <w:tc>
          <w:tcPr>
            <w:tcW w:w="1250" w:type="pct"/>
            <w:vAlign w:val="center"/>
          </w:tcPr>
          <w:p>
            <w:r>
              <w:t xml:space="preserve"> </w:t>
            </w:r>
          </w:p>
        </w:tc>
        <w:tc>
          <w:tcPr>
            <w:tcW w:w="2430" w:type="pct"/>
            <w:vAlign w:val="center"/>
          </w:tcPr>
          <w:p>
            <w:r>
              <w:t xml:space="preserve">naknada za Vijeće srpske nacionalne manjine</w:t>
            </w:r>
          </w:p>
        </w:tc>
        <w:tc>
          <w:tcPr>
            <w:tcW w:w="1319" w:type="pct"/>
            <w:vAlign w:val="center"/>
          </w:tcPr>
          <w:p>
            <w:pPr>
              <w:keepNext/>
              <w:jc w:val="right"/>
            </w:pPr>
            <w:r>
              <w:t xml:space="preserve">191,22</w:t>
            </w:r>
          </w:p>
        </w:tc>
      </w:tr>
      <w:tr>
        <w:trPr/>
        <w:tc>
          <w:tcPr>
            <w:tcW w:w="1250" w:type="pct"/>
            <w:vAlign w:val="center"/>
          </w:tcPr>
          <w:p>
            <w:r>
              <w:t xml:space="preserve"> </w:t>
            </w:r>
          </w:p>
        </w:tc>
        <w:tc>
          <w:tcPr>
            <w:tcW w:w="2430" w:type="pct"/>
            <w:vAlign w:val="center"/>
          </w:tcPr>
          <w:p>
            <w:r>
              <w:t xml:space="preserve">naknada za komisije i povjerenstva</w:t>
            </w:r>
          </w:p>
        </w:tc>
        <w:tc>
          <w:tcPr>
            <w:tcW w:w="1319" w:type="pct"/>
            <w:vAlign w:val="center"/>
          </w:tcPr>
          <w:p>
            <w:pPr>
              <w:keepNext/>
              <w:jc w:val="right"/>
            </w:pPr>
            <w:r>
              <w:t xml:space="preserve">185,76</w:t>
            </w:r>
          </w:p>
        </w:tc>
      </w:tr>
      <w:tr>
        <w:trPr/>
        <w:tc>
          <w:tcPr>
            <w:tcW w:w="1250" w:type="pct"/>
            <w:vAlign w:val="center"/>
          </w:tcPr>
          <w:p>
            <w:r>
              <w:t xml:space="preserve"> </w:t>
            </w:r>
          </w:p>
        </w:tc>
        <w:tc>
          <w:tcPr>
            <w:tcW w:w="2430" w:type="pct"/>
            <w:vAlign w:val="center"/>
          </w:tcPr>
          <w:p>
            <w:r>
              <w:t xml:space="preserve">obveze za reprezentaciju</w:t>
            </w:r>
          </w:p>
        </w:tc>
        <w:tc>
          <w:tcPr>
            <w:tcW w:w="1319" w:type="pct"/>
            <w:vAlign w:val="center"/>
          </w:tcPr>
          <w:p>
            <w:pPr>
              <w:keepNext/>
              <w:jc w:val="right"/>
            </w:pPr>
            <w:r>
              <w:t xml:space="preserve">447,92</w:t>
            </w:r>
          </w:p>
        </w:tc>
      </w:tr>
      <w:tr>
        <w:trPr/>
        <w:tc>
          <w:tcPr>
            <w:tcW w:w="1250" w:type="pct"/>
            <w:vAlign w:val="center"/>
          </w:tcPr>
          <w:p>
            <w:r>
              <w:t xml:space="preserve"> </w:t>
            </w:r>
          </w:p>
        </w:tc>
        <w:tc>
          <w:tcPr>
            <w:tcW w:w="2430" w:type="pct"/>
            <w:vAlign w:val="center"/>
          </w:tcPr>
          <w:p>
            <w:r>
              <w:t xml:space="preserve">obveze za naknadu Fondu za zaštitu okoliša </w:t>
            </w:r>
          </w:p>
        </w:tc>
        <w:tc>
          <w:tcPr>
            <w:tcW w:w="1319" w:type="pct"/>
            <w:vAlign w:val="center"/>
          </w:tcPr>
          <w:p>
            <w:pPr>
              <w:keepNext/>
              <w:jc w:val="right"/>
            </w:pPr>
            <w:r>
              <w:t xml:space="preserve">9.801,22</w:t>
            </w:r>
          </w:p>
        </w:tc>
      </w:tr>
      <w:tr>
        <w:trPr/>
        <w:tc>
          <w:tcPr>
            <w:tcW w:w="1250" w:type="pct"/>
            <w:vAlign w:val="center"/>
          </w:tcPr>
          <w:p>
            <w:r>
              <w:t xml:space="preserve"> </w:t>
            </w:r>
          </w:p>
        </w:tc>
        <w:tc>
          <w:tcPr>
            <w:tcW w:w="2430" w:type="pct"/>
            <w:vAlign w:val="center"/>
          </w:tcPr>
          <w:p>
            <w:r>
              <w:t xml:space="preserve">obveze za rad političkih stranaka</w:t>
            </w:r>
          </w:p>
        </w:tc>
        <w:tc>
          <w:tcPr>
            <w:tcW w:w="1319" w:type="pct"/>
            <w:vAlign w:val="center"/>
          </w:tcPr>
          <w:p>
            <w:pPr>
              <w:keepNext/>
              <w:jc w:val="right"/>
            </w:pPr>
            <w:r>
              <w:t xml:space="preserve">2.240,85</w:t>
            </w:r>
          </w:p>
        </w:tc>
      </w:tr>
      <w:tr>
        <w:trPr/>
        <w:tc>
          <w:tcPr>
            <w:tcW w:w="1250" w:type="pct"/>
            <w:vAlign w:val="center"/>
          </w:tcPr>
          <w:p>
            <w:r>
              <w:t xml:space="preserve"> </w:t>
            </w:r>
          </w:p>
        </w:tc>
        <w:tc>
          <w:tcPr>
            <w:tcW w:w="2430" w:type="pct"/>
            <w:vAlign w:val="center"/>
          </w:tcPr>
          <w:p>
            <w:r>
              <w:t xml:space="preserve">obveze za sufinanciranje smještaja djece u vrtiću</w:t>
            </w:r>
          </w:p>
        </w:tc>
        <w:tc>
          <w:tcPr>
            <w:tcW w:w="1319" w:type="pct"/>
            <w:vAlign w:val="center"/>
          </w:tcPr>
          <w:p>
            <w:pPr>
              <w:keepNext/>
              <w:jc w:val="right"/>
            </w:pPr>
            <w:r>
              <w:t xml:space="preserve">14.045,29</w:t>
            </w:r>
          </w:p>
        </w:tc>
      </w:tr>
      <w:tr>
        <w:trPr/>
        <w:tc>
          <w:tcPr>
            <w:tcW w:w="1250" w:type="pct"/>
            <w:vAlign w:val="center"/>
          </w:tcPr>
          <w:p>
            <w:r>
              <w:t xml:space="preserve"> </w:t>
            </w:r>
          </w:p>
        </w:tc>
        <w:tc>
          <w:tcPr>
            <w:tcW w:w="2430" w:type="pct"/>
            <w:vAlign w:val="center"/>
          </w:tcPr>
          <w:p>
            <w:r>
              <w:t xml:space="preserve">obveze za aglomeraciju</w:t>
            </w:r>
          </w:p>
        </w:tc>
        <w:tc>
          <w:tcPr>
            <w:tcW w:w="1319" w:type="pct"/>
            <w:vAlign w:val="center"/>
          </w:tcPr>
          <w:p>
            <w:pPr>
              <w:keepNext/>
              <w:jc w:val="right"/>
            </w:pPr>
            <w:r>
              <w:t xml:space="preserve">174.167,27</w:t>
            </w:r>
          </w:p>
        </w:tc>
      </w:tr>
      <w:tr>
        <w:trPr/>
        <w:tc>
          <w:tcPr>
            <w:tcW w:w="1250" w:type="pct"/>
            <w:vAlign w:val="center"/>
          </w:tcPr>
          <w:p>
            <w:r>
              <w:t xml:space="preserve"> </w:t>
            </w:r>
          </w:p>
        </w:tc>
        <w:tc>
          <w:tcPr>
            <w:tcW w:w="2430" w:type="pct"/>
            <w:vAlign w:val="center"/>
          </w:tcPr>
          <w:p>
            <w:r>
              <w:t xml:space="preserve">naknada za nezapošljavanje osobe s invaliditetom</w:t>
            </w:r>
          </w:p>
        </w:tc>
        <w:tc>
          <w:tcPr>
            <w:tcW w:w="1319" w:type="pct"/>
            <w:vAlign w:val="center"/>
          </w:tcPr>
          <w:p>
            <w:pPr>
              <w:keepNext/>
              <w:jc w:val="right"/>
            </w:pPr>
            <w:r>
              <w:t xml:space="preserve">388,00</w:t>
            </w:r>
          </w:p>
        </w:tc>
      </w:tr>
      <w:tr>
        <w:trPr/>
        <w:tc>
          <w:tcPr>
            <w:tcW w:w="1250" w:type="pct"/>
            <w:vAlign w:val="center"/>
          </w:tcPr>
          <w:p>
            <w:r>
              <w:t xml:space="preserve"> </w:t>
            </w:r>
          </w:p>
        </w:tc>
        <w:tc>
          <w:tcPr>
            <w:tcW w:w="2430" w:type="pct"/>
            <w:vAlign w:val="center"/>
          </w:tcPr>
          <w:p>
            <w:r>
              <w:t xml:space="preserve">obveze za interkalarnu kamatu HBOR-u</w:t>
            </w:r>
          </w:p>
        </w:tc>
        <w:tc>
          <w:tcPr>
            <w:tcW w:w="1319" w:type="pct"/>
            <w:vAlign w:val="center"/>
          </w:tcPr>
          <w:p>
            <w:pPr>
              <w:keepNext/>
              <w:jc w:val="right"/>
            </w:pPr>
            <w:r>
              <w:t xml:space="preserve">2.688,23</w:t>
            </w:r>
          </w:p>
        </w:tc>
      </w:tr>
      <w:tr>
        <w:trPr/>
        <w:tc>
          <w:tcPr>
            <w:tcW w:w="1250" w:type="pct"/>
            <w:vAlign w:val="center"/>
          </w:tcPr>
          <w:p>
            <w:r>
              <w:t xml:space="preserve"> </w:t>
            </w:r>
          </w:p>
        </w:tc>
        <w:tc>
          <w:tcPr>
            <w:tcW w:w="2430" w:type="pct"/>
            <w:vAlign w:val="center"/>
          </w:tcPr>
          <w:p>
            <w:r>
              <w:t xml:space="preserve">obveze za Crveni križ</w:t>
            </w:r>
          </w:p>
        </w:tc>
        <w:tc>
          <w:tcPr>
            <w:tcW w:w="1319" w:type="pct"/>
            <w:vAlign w:val="center"/>
          </w:tcPr>
          <w:p>
            <w:pPr>
              <w:keepNext/>
              <w:jc w:val="right"/>
            </w:pPr>
            <w:r>
              <w:t xml:space="preserve">2.389,01</w:t>
            </w:r>
          </w:p>
        </w:tc>
      </w:tr>
      <w:tr>
        <w:trPr/>
        <w:tc>
          <w:tcPr>
            <w:tcW w:w="1250" w:type="pct"/>
            <w:vAlign w:val="center"/>
          </w:tcPr>
          <w:p>
            <w:r>
              <w:t xml:space="preserve"> </w:t>
            </w:r>
          </w:p>
        </w:tc>
        <w:tc>
          <w:tcPr>
            <w:tcW w:w="2430" w:type="pct"/>
            <w:vAlign w:val="center"/>
          </w:tcPr>
          <w:p>
            <w:r>
              <w:t xml:space="preserve">obveze za Turističku zajednicu</w:t>
            </w:r>
          </w:p>
        </w:tc>
        <w:tc>
          <w:tcPr>
            <w:tcW w:w="1319" w:type="pct"/>
            <w:vAlign w:val="center"/>
          </w:tcPr>
          <w:p>
            <w:pPr>
              <w:keepNext/>
              <w:jc w:val="right"/>
            </w:pPr>
            <w:r>
              <w:t xml:space="preserve">19.500,00</w:t>
            </w:r>
          </w:p>
        </w:tc>
      </w:tr>
      <w:tr>
        <w:trPr/>
        <w:tc>
          <w:tcPr>
            <w:tcW w:w="1250" w:type="pct"/>
            <w:vAlign w:val="center"/>
          </w:tcPr>
          <w:p>
            <w:r>
              <w:t xml:space="preserve"> </w:t>
            </w:r>
          </w:p>
        </w:tc>
        <w:tc>
          <w:tcPr>
            <w:tcW w:w="2430" w:type="pct"/>
            <w:vAlign w:val="center"/>
          </w:tcPr>
          <w:p>
            <w:r>
              <w:t xml:space="preserve">obveze za elementarne nepogode</w:t>
            </w:r>
          </w:p>
        </w:tc>
        <w:tc>
          <w:tcPr>
            <w:tcW w:w="1319" w:type="pct"/>
            <w:vAlign w:val="center"/>
          </w:tcPr>
          <w:p>
            <w:pPr>
              <w:keepNext/>
              <w:jc w:val="right"/>
            </w:pPr>
            <w:r>
              <w:t xml:space="preserve">95,81</w:t>
            </w:r>
          </w:p>
        </w:tc>
      </w:tr>
      <w:tr>
        <w:trPr/>
        <w:tc>
          <w:tcPr>
            <w:tcW w:w="1250" w:type="pct"/>
            <w:vAlign w:val="center"/>
          </w:tcPr>
          <w:p>
            <w:r>
              <w:t xml:space="preserve"> </w:t>
            </w:r>
          </w:p>
        </w:tc>
        <w:tc>
          <w:tcPr>
            <w:tcW w:w="2430" w:type="pct"/>
            <w:vAlign w:val="center"/>
          </w:tcPr>
          <w:p>
            <w:r>
              <w:t xml:space="preserve">obveze za isplatu nacionaliziranog zemljišta</w:t>
            </w:r>
          </w:p>
        </w:tc>
        <w:tc>
          <w:tcPr>
            <w:tcW w:w="1319" w:type="pct"/>
            <w:vAlign w:val="center"/>
          </w:tcPr>
          <w:p>
            <w:pPr>
              <w:keepNext/>
              <w:jc w:val="right"/>
            </w:pPr>
            <w:r>
              <w:t xml:space="preserve">1.867,16</w:t>
            </w:r>
          </w:p>
        </w:tc>
      </w:tr>
      <w:tr>
        <w:trPr/>
        <w:tc>
          <w:tcPr>
            <w:tcW w:w="1250" w:type="pct"/>
            <w:vAlign w:val="center"/>
          </w:tcPr>
          <w:p>
            <w:r>
              <w:t xml:space="preserve"> </w:t>
            </w:r>
          </w:p>
        </w:tc>
        <w:tc>
          <w:tcPr>
            <w:tcW w:w="2430" w:type="pct"/>
            <w:vAlign w:val="center"/>
          </w:tcPr>
          <w:p>
            <w:r>
              <w:t xml:space="preserve">obveze za pogrešne uplate</w:t>
            </w:r>
          </w:p>
        </w:tc>
        <w:tc>
          <w:tcPr>
            <w:tcW w:w="1319" w:type="pct"/>
            <w:vAlign w:val="center"/>
          </w:tcPr>
          <w:p>
            <w:pPr>
              <w:keepNext/>
              <w:jc w:val="right"/>
            </w:pPr>
            <w:r>
              <w:t xml:space="preserve">1.114,36</w:t>
            </w:r>
          </w:p>
        </w:tc>
      </w:tr>
      <w:tr>
        <w:trPr/>
        <w:tc>
          <w:tcPr>
            <w:tcW w:w="1250" w:type="pct"/>
            <w:vAlign w:val="center"/>
          </w:tcPr>
          <w:p>
            <w:r>
              <w:t xml:space="preserve"> </w:t>
            </w:r>
          </w:p>
        </w:tc>
        <w:tc>
          <w:tcPr>
            <w:tcW w:w="2430" w:type="pct"/>
            <w:vAlign w:val="center"/>
          </w:tcPr>
          <w:p>
            <w:r>
              <w:t xml:space="preserve">obveze za plaće</w:t>
            </w:r>
          </w:p>
        </w:tc>
        <w:tc>
          <w:tcPr>
            <w:tcW w:w="1319" w:type="pct"/>
            <w:vAlign w:val="center"/>
          </w:tcPr>
          <w:p>
            <w:pPr>
              <w:keepNext/>
              <w:jc w:val="right"/>
            </w:pPr>
            <w:r>
              <w:t xml:space="preserve">140.382,25</w:t>
            </w:r>
          </w:p>
        </w:tc>
      </w:tr>
      <w:tr>
        <w:trPr/>
        <w:tc>
          <w:tcPr>
            <w:tcW w:w="1250" w:type="pct"/>
            <w:vAlign w:val="center"/>
          </w:tcPr>
          <w:p>
            <w:r>
              <w:t xml:space="preserve"> </w:t>
            </w:r>
          </w:p>
        </w:tc>
        <w:tc>
          <w:tcPr>
            <w:tcW w:w="2430" w:type="pct"/>
            <w:vAlign w:val="center"/>
          </w:tcPr>
          <w:p>
            <w:r>
              <w:t xml:space="preserve">obveze za troškove prijevoza</w:t>
            </w:r>
          </w:p>
        </w:tc>
        <w:tc>
          <w:tcPr>
            <w:tcW w:w="1319" w:type="pct"/>
            <w:vAlign w:val="center"/>
          </w:tcPr>
          <w:p>
            <w:pPr>
              <w:keepNext/>
              <w:jc w:val="right"/>
            </w:pPr>
            <w:r>
              <w:t xml:space="preserve">651,20</w:t>
            </w:r>
          </w:p>
        </w:tc>
      </w:tr>
      <w:tr>
        <w:trPr/>
        <w:tc>
          <w:tcPr>
            <w:tcW w:w="1250" w:type="pct"/>
            <w:vAlign w:val="center"/>
          </w:tcPr>
          <w:p>
            <w:r>
              <w:t xml:space="preserve"> </w:t>
            </w:r>
          </w:p>
        </w:tc>
        <w:tc>
          <w:tcPr>
            <w:tcW w:w="2430" w:type="pct"/>
            <w:vAlign w:val="center"/>
          </w:tcPr>
          <w:p>
            <w:r>
              <w:t xml:space="preserve">obveze za povrat DEC sredstava</w:t>
            </w:r>
          </w:p>
        </w:tc>
        <w:tc>
          <w:tcPr>
            <w:tcW w:w="1319" w:type="pct"/>
            <w:vAlign w:val="center"/>
          </w:tcPr>
          <w:p>
            <w:pPr>
              <w:keepNext/>
              <w:jc w:val="right"/>
            </w:pPr>
            <w:r>
              <w:t xml:space="preserve">191,42</w:t>
            </w:r>
          </w:p>
        </w:tc>
      </w:tr>
      <w:tr>
        <w:trPr/>
        <w:tc>
          <w:tcPr>
            <w:tcW w:w="1250" w:type="pct"/>
            <w:vAlign w:val="center"/>
          </w:tcPr>
          <w:p>
            <w:r>
              <w:rPr>
                <w:b/>
              </w:rPr>
              <w:t xml:space="preserve">ND 24</w:t>
            </w:r>
          </w:p>
        </w:tc>
        <w:tc>
          <w:tcPr>
            <w:tcW w:w="2430" w:type="pct"/>
            <w:vAlign w:val="center"/>
          </w:tcPr>
          <w:p>
            <w:r>
              <w:rPr>
                <w:b/>
              </w:rPr>
              <w:t xml:space="preserve">obveze za nabavu nefinancijske imovine - prema dobavljačima</w:t>
            </w:r>
          </w:p>
        </w:tc>
        <w:tc>
          <w:tcPr>
            <w:tcW w:w="1319" w:type="pct"/>
            <w:vAlign w:val="center"/>
          </w:tcPr>
          <w:p>
            <w:pPr>
              <w:keepNext/>
              <w:jc w:val="right"/>
            </w:pPr>
            <w:r>
              <w:rPr>
                <w:b/>
              </w:rPr>
              <w:t xml:space="preserve">553.882,86</w:t>
            </w:r>
          </w:p>
        </w:tc>
      </w:tr>
      <w:tr>
        <w:trPr/>
        <w:tc>
          <w:tcPr>
            <w:tcW w:w="1250" w:type="pct"/>
            <w:vAlign w:val="center"/>
          </w:tcPr>
          <w:p>
            <w:r>
              <w:rPr>
                <w:b/>
              </w:rPr>
              <w:t xml:space="preserve">ND dio 25,26</w:t>
            </w:r>
          </w:p>
        </w:tc>
        <w:tc>
          <w:tcPr>
            <w:tcW w:w="2430" w:type="pct"/>
            <w:vAlign w:val="center"/>
          </w:tcPr>
          <w:p>
            <w:r>
              <w:rPr>
                <w:b/>
              </w:rPr>
              <w:t xml:space="preserve">Obveze za financijsku imovinu - dugoročni kredit HBOR-u za investicije</w:t>
            </w:r>
          </w:p>
        </w:tc>
        <w:tc>
          <w:tcPr>
            <w:tcW w:w="1319" w:type="pct"/>
            <w:vAlign w:val="center"/>
          </w:tcPr>
          <w:p>
            <w:pPr>
              <w:keepNext/>
              <w:jc w:val="right"/>
            </w:pPr>
            <w:r>
              <w:rPr>
                <w:b/>
              </w:rPr>
              <w:t xml:space="preserve">780.792,78</w:t>
            </w:r>
          </w:p>
        </w:tc>
      </w:tr>
      <w:tr>
        <w:trPr/>
        <w:tc>
          <w:tcPr>
            <w:tcW w:w="1250" w:type="pct"/>
            <w:vAlign w:val="center"/>
          </w:tcPr>
          <w:p>
            <w:r>
              <w:rPr>
                <w:b/>
              </w:rPr>
              <w:t xml:space="preserve">ND27</w:t>
            </w:r>
          </w:p>
        </w:tc>
        <w:tc>
          <w:tcPr>
            <w:tcW w:w="2430" w:type="pct"/>
            <w:vAlign w:val="center"/>
          </w:tcPr>
          <w:p>
            <w:r>
              <w:rPr>
                <w:b/>
              </w:rPr>
              <w:t xml:space="preserve">Obveze za predujmove, depozite, jamčevne pologe i tuđe prihode</w:t>
            </w:r>
          </w:p>
        </w:tc>
        <w:tc>
          <w:tcPr>
            <w:tcW w:w="1319" w:type="pct"/>
            <w:vAlign w:val="center"/>
          </w:tcPr>
          <w:p>
            <w:pPr>
              <w:keepNext/>
              <w:jc w:val="right"/>
            </w:pPr>
            <w:r>
              <w:rPr>
                <w:b/>
              </w:rPr>
              <w:t xml:space="preserve">211.291,09</w:t>
            </w:r>
          </w:p>
        </w:tc>
      </w:tr>
      <w:tr>
        <w:trPr/>
        <w:tc>
          <w:tcPr>
            <w:tcW w:w="1250" w:type="pct"/>
            <w:vAlign w:val="center"/>
          </w:tcPr>
          <w:p>
            <w:r>
              <w:t xml:space="preserve"> </w:t>
            </w:r>
          </w:p>
        </w:tc>
        <w:tc>
          <w:tcPr>
            <w:tcW w:w="2430" w:type="pct"/>
            <w:vAlign w:val="center"/>
          </w:tcPr>
          <w:p>
            <w:r>
              <w:t xml:space="preserve">obveze za naknadu za uređenje voda</w:t>
            </w:r>
          </w:p>
        </w:tc>
        <w:tc>
          <w:tcPr>
            <w:tcW w:w="1319" w:type="pct"/>
            <w:vAlign w:val="center"/>
          </w:tcPr>
          <w:p>
            <w:pPr>
              <w:keepNext/>
              <w:jc w:val="right"/>
            </w:pPr>
            <w:r>
              <w:t xml:space="preserve">3.706,33</w:t>
            </w:r>
          </w:p>
        </w:tc>
      </w:tr>
      <w:tr>
        <w:trPr/>
        <w:tc>
          <w:tcPr>
            <w:tcW w:w="1250" w:type="pct"/>
            <w:vAlign w:val="center"/>
          </w:tcPr>
          <w:p>
            <w:r>
              <w:t xml:space="preserve"> </w:t>
            </w:r>
          </w:p>
        </w:tc>
        <w:tc>
          <w:tcPr>
            <w:tcW w:w="2430" w:type="pct"/>
            <w:vAlign w:val="center"/>
          </w:tcPr>
          <w:p>
            <w:r>
              <w:t xml:space="preserve">obveze za jamčevine</w:t>
            </w:r>
          </w:p>
        </w:tc>
        <w:tc>
          <w:tcPr>
            <w:tcW w:w="1319" w:type="pct"/>
            <w:vAlign w:val="center"/>
          </w:tcPr>
          <w:p>
            <w:pPr>
              <w:keepNext/>
              <w:jc w:val="right"/>
            </w:pPr>
            <w:r>
              <w:t xml:space="preserve">93.795,98</w:t>
            </w:r>
          </w:p>
        </w:tc>
      </w:tr>
      <w:tr>
        <w:trPr/>
        <w:tc>
          <w:tcPr>
            <w:tcW w:w="1250" w:type="pct"/>
            <w:vAlign w:val="center"/>
          </w:tcPr>
          <w:p>
            <w:r>
              <w:t xml:space="preserve"> </w:t>
            </w:r>
          </w:p>
        </w:tc>
        <w:tc>
          <w:tcPr>
            <w:tcW w:w="2430" w:type="pct"/>
            <w:vAlign w:val="center"/>
          </w:tcPr>
          <w:p>
            <w:r>
              <w:t xml:space="preserve">obveze za troškove ogrjeva</w:t>
            </w:r>
          </w:p>
        </w:tc>
        <w:tc>
          <w:tcPr>
            <w:tcW w:w="1319" w:type="pct"/>
            <w:vAlign w:val="center"/>
          </w:tcPr>
          <w:p>
            <w:pPr>
              <w:keepNext/>
              <w:jc w:val="right"/>
            </w:pPr>
            <w:r>
              <w:t xml:space="preserve">1.079,16</w:t>
            </w:r>
          </w:p>
        </w:tc>
      </w:tr>
      <w:tr>
        <w:trPr/>
        <w:tc>
          <w:tcPr>
            <w:tcW w:w="1250" w:type="pct"/>
            <w:vAlign w:val="center"/>
          </w:tcPr>
          <w:p>
            <w:r>
              <w:t xml:space="preserve"> </w:t>
            </w:r>
          </w:p>
        </w:tc>
        <w:tc>
          <w:tcPr>
            <w:tcW w:w="2430" w:type="pct"/>
            <w:vAlign w:val="center"/>
          </w:tcPr>
          <w:p>
            <w:r>
              <w:t xml:space="preserve">obveze za EU predujam za izgradnju Područnog DV-a</w:t>
            </w:r>
          </w:p>
        </w:tc>
        <w:tc>
          <w:tcPr>
            <w:tcW w:w="1319" w:type="pct"/>
            <w:vAlign w:val="center"/>
          </w:tcPr>
          <w:p>
            <w:pPr>
              <w:keepNext/>
              <w:jc w:val="right"/>
            </w:pPr>
            <w:r>
              <w:t xml:space="preserve">112.709,62</w:t>
            </w:r>
          </w:p>
        </w:tc>
      </w:tr>
    </w:tbl>
    <w:p>
      <w:r>
        <w:t xml:space="preserve"> </w:t>
      </w:r>
    </w:p>
    <w:p/>
    <w:p>
      <w:pPr>
        <w:jc w:val="center"/>
        <w:pStyle w:val="Normal"/>
        <w:spacing w:line="240" w:lineRule="auto"/>
        <w:keepNext/>
      </w:pPr>
      <w:r>
        <w:rPr>
          <w:sz w:val="28"/>
          <w:rFonts w:ascii="Times New Roman" w:hAnsi="Times New Roman"/>
        </w:rPr>
        <w:t xml:space="preserve">Bilješka 165.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179.860,40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međusobne obveze subjekata općeg proračuna sastoje se od obveza prema Državnom proračunu za 55% sredstava od prodaje stanova u iznosu od 91,96 eura i obveza prema proračunskim korisnicima u iznosu od 179.768,44 eura.</w:t>
      </w:r>
    </w:p>
    <w:p/>
    <w:p>
      <w:pPr>
        <w:jc w:val="center"/>
        <w:pStyle w:val="Normal"/>
        <w:spacing w:line="240" w:lineRule="auto"/>
        <w:keepNext/>
      </w:pPr>
      <w:r>
        <w:rPr>
          <w:sz w:val="28"/>
          <w:rFonts w:ascii="Times New Roman" w:hAnsi="Times New Roman"/>
        </w:rPr>
        <w:t xml:space="preserve">Bilješka 166.</w:t>
      </w:r>
    </w:p>
    <w:p>
      <w:pPr>
        <w:jc w:val="both"/>
        <w:pStyle w:val="Normal"/>
        <w:spacing w:line="240" w:lineRule="auto"/>
      </w:pPr>
      <w:r>
        <w:rPr>
          <w:b/>
          <w:sz w:val="24"/>
          <w:rFonts w:ascii="Times New Roman" w:hAnsi="Times New Roman"/>
        </w:rPr>
        <w:t xml:space="preserve">EU izvještaj</w:t>
      </w:r>
    </w:p>
    <w:p>
      <w:r>
        <w:rPr>
          <w:b/>
        </w:rPr>
        <w:t xml:space="preserve">581 Mehanizam za oporavak i odgovornost - bespovratna sredstva</w:t>
      </w:r>
    </w:p>
    <w:p>
      <w:r>
        <w:t xml:space="preserve">Na ovom izvoru financiranja nalaze se tri investicije, izgradnja Područnog dječjeg vrtića, izgradnja Reciklažnog dvorišta i projektiranje Centra za upravljanje rizicima.</w:t>
      </w:r>
    </w:p>
    <w:p>
      <w:r>
        <w:t xml:space="preserve">Za izgradnju Područnog dječjeg vrtića primljena su sredstva od Ministarstva znanosti i obrazovanja u iznosu od 955.562,03 eura.</w:t>
      </w:r>
    </w:p>
    <w:tbl>
      <w:tblPr>
        <w:tblStyle w:val="TableGrid"/>
        <w:tblW w:w="2777.25" w:type="pct"/>
      </w:tblPr>
      <w:tblGrid>
        <w:gridCol w:w="2681"/>
        <w:gridCol w:w="3598"/>
        <w:gridCol w:w="3345"/>
      </w:tblGrid>
      <w:tr>
        <w:trPr/>
        <w:tc>
          <w:tcPr>
            <w:tcW w:w="1392" w:type="pct"/>
            <w:vAlign w:val="center"/>
          </w:tcPr>
          <w:p>
            <w:pPr>
              <w:keepNext/>
              <w:jc w:val="center"/>
            </w:pPr>
            <w:r>
              <w:rPr>
                <w:b/>
              </w:rPr>
              <w:t xml:space="preserve">konto</w:t>
            </w:r>
          </w:p>
        </w:tc>
        <w:tc>
          <w:tcPr>
            <w:tcW w:w="1869" w:type="pct"/>
            <w:vAlign w:val="center"/>
          </w:tcPr>
          <w:p>
            <w:pPr>
              <w:keepNext/>
              <w:jc w:val="center"/>
            </w:pPr>
            <w:r>
              <w:rPr>
                <w:b/>
              </w:rPr>
              <w:t xml:space="preserve">2025. godina</w:t>
            </w:r>
          </w:p>
        </w:tc>
        <w:tc>
          <w:tcPr>
            <w:tcW w:w="1737" w:type="pct"/>
            <w:vAlign w:val="center"/>
          </w:tcPr>
          <w:p>
            <w:pPr>
              <w:keepNext/>
              <w:jc w:val="center"/>
            </w:pPr>
            <w:r>
              <w:rPr>
                <w:b/>
              </w:rPr>
              <w:t xml:space="preserve">2025. godina </w:t>
            </w:r>
          </w:p>
        </w:tc>
      </w:tr>
      <w:tr>
        <w:trPr/>
        <w:tc>
          <w:tcPr>
            <w:tcW w:w="1392" w:type="pct"/>
            <w:vAlign w:val="center"/>
          </w:tcPr>
          <w:p>
            <w:r>
              <w:t xml:space="preserve">63821</w:t>
            </w:r>
          </w:p>
        </w:tc>
        <w:tc>
          <w:tcPr>
            <w:tcW w:w="1869" w:type="pct"/>
            <w:vAlign w:val="center"/>
          </w:tcPr>
          <w:p>
            <w:pPr>
              <w:keepNext/>
              <w:jc w:val="right"/>
            </w:pPr>
            <w:r>
              <w:t xml:space="preserve">955.562,03</w:t>
            </w:r>
          </w:p>
        </w:tc>
        <w:tc>
          <w:tcPr>
            <w:tcW w:w="1737" w:type="pct"/>
            <w:vAlign w:val="center"/>
          </w:tcPr>
          <w:p>
            <w:pPr>
              <w:keepNext/>
              <w:jc w:val="right"/>
            </w:pPr>
            <w:r>
              <w:t xml:space="preserve"> </w:t>
            </w:r>
          </w:p>
        </w:tc>
      </w:tr>
      <w:tr>
        <w:trPr/>
        <w:tc>
          <w:tcPr>
            <w:tcW w:w="1392" w:type="pct"/>
            <w:vAlign w:val="center"/>
          </w:tcPr>
          <w:p>
            <w:r>
              <w:t xml:space="preserve">4212</w:t>
            </w:r>
          </w:p>
        </w:tc>
        <w:tc>
          <w:tcPr>
            <w:tcW w:w="1869" w:type="pct"/>
            <w:vAlign w:val="center"/>
          </w:tcPr>
          <w:p>
            <w:pPr>
              <w:keepNext/>
              <w:jc w:val="right"/>
            </w:pPr>
            <w:r>
              <w:t xml:space="preserve">943.735,26</w:t>
            </w:r>
          </w:p>
        </w:tc>
        <w:tc>
          <w:tcPr>
            <w:tcW w:w="1737" w:type="pct"/>
            <w:vAlign w:val="center"/>
          </w:tcPr>
          <w:p>
            <w:pPr>
              <w:keepNext/>
              <w:jc w:val="right"/>
            </w:pPr>
            <w:r>
              <w:t xml:space="preserve"> </w:t>
            </w:r>
          </w:p>
        </w:tc>
      </w:tr>
      <w:tr>
        <w:trPr/>
        <w:tc>
          <w:tcPr>
            <w:tcW w:w="1392" w:type="pct"/>
            <w:vAlign w:val="center"/>
          </w:tcPr>
          <w:p>
            <w:r>
              <w:t xml:space="preserve"> </w:t>
            </w:r>
          </w:p>
        </w:tc>
        <w:tc>
          <w:tcPr>
            <w:tcW w:w="1869" w:type="pct"/>
            <w:vAlign w:val="center"/>
          </w:tcPr>
          <w:p>
            <w:pPr>
              <w:keepNext/>
              <w:jc w:val="center"/>
            </w:pPr>
            <w:r>
              <w:rPr>
                <w:b/>
              </w:rPr>
              <w:t xml:space="preserve">zbroj dugovne strane</w:t>
            </w:r>
          </w:p>
        </w:tc>
        <w:tc>
          <w:tcPr>
            <w:tcW w:w="1737" w:type="pct"/>
            <w:vAlign w:val="center"/>
          </w:tcPr>
          <w:p>
            <w:pPr>
              <w:keepNext/>
              <w:jc w:val="center"/>
            </w:pPr>
            <w:r>
              <w:rPr>
                <w:b/>
              </w:rPr>
              <w:t xml:space="preserve">zbroj potražne strane</w:t>
            </w:r>
          </w:p>
        </w:tc>
      </w:tr>
      <w:tr>
        <w:trPr/>
        <w:tc>
          <w:tcPr>
            <w:tcW w:w="1392" w:type="pct"/>
            <w:vAlign w:val="center"/>
          </w:tcPr>
          <w:p>
            <w:r>
              <w:t xml:space="preserve">96382</w:t>
            </w:r>
          </w:p>
        </w:tc>
        <w:tc>
          <w:tcPr>
            <w:tcW w:w="1869" w:type="pct"/>
            <w:vAlign w:val="center"/>
          </w:tcPr>
          <w:p>
            <w:pPr>
              <w:keepNext/>
              <w:jc w:val="right"/>
            </w:pPr>
            <w:r>
              <w:t xml:space="preserve">955.562,03</w:t>
            </w:r>
          </w:p>
        </w:tc>
        <w:tc>
          <w:tcPr>
            <w:tcW w:w="1737" w:type="pct"/>
            <w:vAlign w:val="center"/>
          </w:tcPr>
          <w:p>
            <w:pPr>
              <w:keepNext/>
              <w:jc w:val="right"/>
            </w:pPr>
            <w:r>
              <w:t xml:space="preserve">955.562,03</w:t>
            </w:r>
          </w:p>
        </w:tc>
      </w:tr>
      <w:tr>
        <w:trPr/>
        <w:tc>
          <w:tcPr>
            <w:tcW w:w="1392" w:type="pct"/>
            <w:vAlign w:val="center"/>
          </w:tcPr>
          <w:p>
            <w:r>
              <w:t xml:space="preserve"> </w:t>
            </w:r>
          </w:p>
        </w:tc>
        <w:tc>
          <w:tcPr>
            <w:tcW w:w="1869" w:type="pct"/>
            <w:vAlign w:val="center"/>
          </w:tcPr>
          <w:p>
            <w:pPr>
              <w:keepNext/>
              <w:jc w:val="center"/>
            </w:pPr>
            <w:r>
              <w:rPr>
                <w:b/>
              </w:rPr>
              <w:t xml:space="preserve">stanje na prvi dan</w:t>
            </w:r>
          </w:p>
        </w:tc>
        <w:tc>
          <w:tcPr>
            <w:tcW w:w="1737" w:type="pct"/>
            <w:vAlign w:val="center"/>
          </w:tcPr>
          <w:p>
            <w:pPr>
              <w:keepNext/>
              <w:jc w:val="center"/>
            </w:pPr>
            <w:r>
              <w:rPr>
                <w:b/>
              </w:rPr>
              <w:t xml:space="preserve">stanje na zadnji dan</w:t>
            </w:r>
          </w:p>
        </w:tc>
      </w:tr>
      <w:tr>
        <w:trPr/>
        <w:tc>
          <w:tcPr>
            <w:tcW w:w="1392" w:type="pct"/>
            <w:vAlign w:val="center"/>
          </w:tcPr>
          <w:p>
            <w:r>
              <w:t xml:space="preserve">16382</w:t>
            </w:r>
          </w:p>
        </w:tc>
        <w:tc>
          <w:tcPr>
            <w:tcW w:w="1869" w:type="pct"/>
            <w:vAlign w:val="center"/>
          </w:tcPr>
          <w:p>
            <w:pPr>
              <w:keepNext/>
              <w:jc w:val="right"/>
            </w:pPr>
            <w:r>
              <w:t xml:space="preserve">955.562,03</w:t>
            </w:r>
          </w:p>
        </w:tc>
        <w:tc>
          <w:tcPr>
            <w:tcW w:w="1737" w:type="pct"/>
            <w:vAlign w:val="center"/>
          </w:tcPr>
          <w:p>
            <w:pPr>
              <w:keepNext/>
              <w:jc w:val="right"/>
            </w:pPr>
            <w:r>
              <w:t xml:space="preserve">955.562,03</w:t>
            </w:r>
          </w:p>
        </w:tc>
      </w:tr>
      <w:tr>
        <w:trPr/>
        <w:tc>
          <w:tcPr>
            <w:tcW w:w="1392" w:type="pct"/>
            <w:vAlign w:val="center"/>
          </w:tcPr>
          <w:p>
            <w:r>
              <w:t xml:space="preserve">27521</w:t>
            </w:r>
          </w:p>
        </w:tc>
        <w:tc>
          <w:tcPr>
            <w:tcW w:w="1869" w:type="pct"/>
            <w:vAlign w:val="center"/>
          </w:tcPr>
          <w:p>
            <w:pPr>
              <w:keepNext/>
              <w:jc w:val="right"/>
            </w:pPr>
            <w:r>
              <w:t xml:space="preserve">726.259,20</w:t>
            </w:r>
          </w:p>
        </w:tc>
        <w:tc>
          <w:tcPr>
            <w:tcW w:w="1737" w:type="pct"/>
            <w:vAlign w:val="center"/>
          </w:tcPr>
          <w:p>
            <w:pPr>
              <w:keepNext/>
              <w:jc w:val="right"/>
            </w:pPr>
            <w:r>
              <w:t xml:space="preserve">112.709,62</w:t>
            </w:r>
          </w:p>
        </w:tc>
      </w:tr>
      <w:tr>
        <w:trPr/>
        <w:tc>
          <w:tcPr>
            <w:tcW w:w="1392" w:type="pct"/>
            <w:vAlign w:val="center"/>
          </w:tcPr>
          <w:p>
            <w:r>
              <w:t xml:space="preserve">99171</w:t>
            </w:r>
          </w:p>
        </w:tc>
        <w:tc>
          <w:tcPr>
            <w:tcW w:w="1869" w:type="pct"/>
            <w:vAlign w:val="center"/>
          </w:tcPr>
          <w:p>
            <w:pPr>
              <w:keepNext/>
              <w:jc w:val="right"/>
            </w:pPr>
            <w:r>
              <w:t xml:space="preserve">1.452.518,42</w:t>
            </w:r>
          </w:p>
        </w:tc>
        <w:tc>
          <w:tcPr>
            <w:tcW w:w="1737" w:type="pct"/>
            <w:vAlign w:val="center"/>
          </w:tcPr>
          <w:p>
            <w:pPr>
              <w:keepNext/>
              <w:jc w:val="right"/>
            </w:pPr>
            <w:r>
              <w:t xml:space="preserve">496.956,39</w:t>
            </w:r>
          </w:p>
        </w:tc>
      </w:tr>
    </w:tbl>
    <w:p>
      <w:r>
        <w:t xml:space="preserve"> </w:t>
      </w:r>
    </w:p>
    <w:p>
      <w:r>
        <w:t xml:space="preserve">Za izgradnju Reciklažnog dvorišta primljena su sredstva od Ministarstva gospodarstva i održivog razvoja u 2024. godini u iznosu od 213.596,05 eura i u 2025. godini 464.918,96 eura koja su potrošena na izgradnju i uspostavu Reciklažnog dvorišta.</w:t>
      </w:r>
    </w:p>
    <w:tbl>
      <w:tblPr>
        <w:tblStyle w:val="TableGrid"/>
        <w:tblW w:w="3151.585" w:type="pct"/>
      </w:tblPr>
      <w:tblGrid>
        <w:gridCol w:w="2068"/>
        <w:gridCol w:w="2317"/>
        <w:gridCol w:w="2703"/>
        <w:gridCol w:w="2536"/>
      </w:tblGrid>
      <w:tr>
        <w:trPr/>
        <w:tc>
          <w:tcPr>
            <w:tcW w:w="1074" w:type="pct"/>
            <w:vAlign w:val="center"/>
          </w:tcPr>
          <w:p>
            <w:pPr>
              <w:keepNext/>
              <w:jc w:val="center"/>
            </w:pPr>
            <w:r>
              <w:rPr>
                <w:b/>
              </w:rPr>
              <w:t xml:space="preserve">konto</w:t>
            </w:r>
          </w:p>
        </w:tc>
        <w:tc>
          <w:tcPr>
            <w:tcW w:w="1203" w:type="pct"/>
            <w:vAlign w:val="center"/>
          </w:tcPr>
          <w:p>
            <w:pPr>
              <w:keepNext/>
              <w:jc w:val="center"/>
            </w:pPr>
            <w:r>
              <w:rPr>
                <w:b/>
              </w:rPr>
              <w:t xml:space="preserve">2024. godina</w:t>
            </w:r>
          </w:p>
        </w:tc>
        <w:tc>
          <w:tcPr>
            <w:tcW w:w="1404" w:type="pct"/>
            <w:vAlign w:val="center"/>
          </w:tcPr>
          <w:p>
            <w:pPr>
              <w:keepNext/>
              <w:jc w:val="center"/>
            </w:pPr>
            <w:r>
              <w:rPr>
                <w:b/>
              </w:rPr>
              <w:t xml:space="preserve">2025. godina</w:t>
            </w:r>
          </w:p>
        </w:tc>
        <w:tc>
          <w:tcPr>
            <w:tcW w:w="1317" w:type="pct"/>
            <w:vAlign w:val="center"/>
          </w:tcPr>
          <w:p>
            <w:pPr>
              <w:keepNext/>
              <w:jc w:val="center"/>
            </w:pPr>
            <w:r>
              <w:rPr>
                <w:b/>
              </w:rPr>
              <w:t xml:space="preserve">2025. godina </w:t>
            </w:r>
          </w:p>
        </w:tc>
      </w:tr>
      <w:tr>
        <w:trPr/>
        <w:tc>
          <w:tcPr>
            <w:tcW w:w="1074" w:type="pct"/>
            <w:vAlign w:val="center"/>
          </w:tcPr>
          <w:p>
            <w:r>
              <w:t xml:space="preserve">63821</w:t>
            </w:r>
          </w:p>
        </w:tc>
        <w:tc>
          <w:tcPr>
            <w:tcW w:w="1203" w:type="pct"/>
            <w:vAlign w:val="center"/>
          </w:tcPr>
          <w:p>
            <w:pPr>
              <w:keepNext/>
              <w:jc w:val="right"/>
            </w:pPr>
            <w:r>
              <w:t xml:space="preserve">213.596,05</w:t>
            </w:r>
          </w:p>
        </w:tc>
        <w:tc>
          <w:tcPr>
            <w:tcW w:w="1404" w:type="pct"/>
            <w:vAlign w:val="center"/>
          </w:tcPr>
          <w:p>
            <w:pPr>
              <w:keepNext/>
              <w:jc w:val="right"/>
            </w:pPr>
            <w:r>
              <w:t xml:space="preserve">464.918,96</w:t>
            </w:r>
          </w:p>
        </w:tc>
        <w:tc>
          <w:tcPr>
            <w:tcW w:w="1317" w:type="pct"/>
            <w:vAlign w:val="center"/>
          </w:tcPr>
          <w:p>
            <w:pPr>
              <w:keepNext/>
              <w:jc w:val="right"/>
            </w:pPr>
            <w:r>
              <w:t xml:space="preserve"> </w:t>
            </w:r>
          </w:p>
        </w:tc>
      </w:tr>
      <w:tr>
        <w:trPr/>
        <w:tc>
          <w:tcPr>
            <w:tcW w:w="1074" w:type="pct"/>
            <w:vAlign w:val="center"/>
          </w:tcPr>
          <w:p>
            <w:r>
              <w:t xml:space="preserve">3233</w:t>
            </w:r>
          </w:p>
        </w:tc>
        <w:tc>
          <w:tcPr>
            <w:tcW w:w="1203" w:type="pct"/>
            <w:vAlign w:val="center"/>
          </w:tcPr>
          <w:p>
            <w:pPr>
              <w:keepNext/>
              <w:jc w:val="right"/>
            </w:pPr>
            <w:r>
              <w:t xml:space="preserve"> </w:t>
            </w:r>
          </w:p>
        </w:tc>
        <w:tc>
          <w:tcPr>
            <w:tcW w:w="1404" w:type="pct"/>
            <w:vAlign w:val="center"/>
          </w:tcPr>
          <w:p>
            <w:pPr>
              <w:keepNext/>
              <w:jc w:val="right"/>
            </w:pPr>
            <w:r>
              <w:t xml:space="preserve">3.419,96</w:t>
            </w:r>
          </w:p>
        </w:tc>
        <w:tc>
          <w:tcPr>
            <w:tcW w:w="1317" w:type="pct"/>
            <w:vAlign w:val="center"/>
          </w:tcPr>
          <w:p>
            <w:pPr>
              <w:keepNext/>
              <w:jc w:val="right"/>
            </w:pPr>
            <w:r>
              <w:t xml:space="preserve"> </w:t>
            </w:r>
          </w:p>
        </w:tc>
      </w:tr>
      <w:tr>
        <w:trPr/>
        <w:tc>
          <w:tcPr>
            <w:tcW w:w="1074" w:type="pct"/>
            <w:vAlign w:val="center"/>
          </w:tcPr>
          <w:p>
            <w:r>
              <w:t xml:space="preserve">3237</w:t>
            </w:r>
          </w:p>
        </w:tc>
        <w:tc>
          <w:tcPr>
            <w:tcW w:w="1203" w:type="pct"/>
            <w:vAlign w:val="center"/>
          </w:tcPr>
          <w:p>
            <w:pPr>
              <w:keepNext/>
              <w:jc w:val="right"/>
            </w:pPr>
            <w:r>
              <w:t xml:space="preserve">1.245,42</w:t>
            </w:r>
          </w:p>
        </w:tc>
        <w:tc>
          <w:tcPr>
            <w:tcW w:w="1404" w:type="pct"/>
            <w:vAlign w:val="center"/>
          </w:tcPr>
          <w:p>
            <w:pPr>
              <w:keepNext/>
              <w:jc w:val="right"/>
            </w:pPr>
            <w:r>
              <w:t xml:space="preserve">12.957,18</w:t>
            </w:r>
          </w:p>
        </w:tc>
        <w:tc>
          <w:tcPr>
            <w:tcW w:w="1317" w:type="pct"/>
            <w:vAlign w:val="center"/>
          </w:tcPr>
          <w:p>
            <w:pPr>
              <w:keepNext/>
              <w:jc w:val="right"/>
            </w:pPr>
            <w:r>
              <w:t xml:space="preserve"> </w:t>
            </w:r>
          </w:p>
        </w:tc>
      </w:tr>
      <w:tr>
        <w:trPr/>
        <w:tc>
          <w:tcPr>
            <w:tcW w:w="1074" w:type="pct"/>
            <w:vAlign w:val="center"/>
          </w:tcPr>
          <w:p>
            <w:r>
              <w:t xml:space="preserve">4214</w:t>
            </w:r>
          </w:p>
        </w:tc>
        <w:tc>
          <w:tcPr>
            <w:tcW w:w="1203" w:type="pct"/>
            <w:vAlign w:val="center"/>
          </w:tcPr>
          <w:p>
            <w:pPr>
              <w:keepNext/>
              <w:jc w:val="right"/>
            </w:pPr>
            <w:r>
              <w:t xml:space="preserve">212.350,63</w:t>
            </w:r>
          </w:p>
        </w:tc>
        <w:tc>
          <w:tcPr>
            <w:tcW w:w="1404" w:type="pct"/>
            <w:vAlign w:val="center"/>
          </w:tcPr>
          <w:p>
            <w:pPr>
              <w:keepNext/>
              <w:jc w:val="right"/>
            </w:pPr>
            <w:r>
              <w:t xml:space="preserve">402.930,22</w:t>
            </w:r>
          </w:p>
        </w:tc>
        <w:tc>
          <w:tcPr>
            <w:tcW w:w="1317" w:type="pct"/>
            <w:vAlign w:val="center"/>
          </w:tcPr>
          <w:p>
            <w:pPr>
              <w:keepNext/>
              <w:jc w:val="right"/>
            </w:pPr>
            <w:r>
              <w:t xml:space="preserve"> </w:t>
            </w:r>
          </w:p>
        </w:tc>
      </w:tr>
      <w:tr>
        <w:trPr/>
        <w:tc>
          <w:tcPr>
            <w:tcW w:w="1074" w:type="pct"/>
            <w:vAlign w:val="center"/>
          </w:tcPr>
          <w:p>
            <w:r>
              <w:t xml:space="preserve"> </w:t>
            </w:r>
          </w:p>
        </w:tc>
        <w:tc>
          <w:tcPr>
            <w:tcW w:w="1203" w:type="pct"/>
            <w:vAlign w:val="center"/>
          </w:tcPr>
          <w:p>
            <w:pPr>
              <w:keepNext/>
              <w:jc w:val="right"/>
            </w:pPr>
            <w:r>
              <w:t xml:space="preserve"> </w:t>
            </w:r>
          </w:p>
        </w:tc>
        <w:tc>
          <w:tcPr>
            <w:tcW w:w="1404" w:type="pct"/>
            <w:vAlign w:val="center"/>
          </w:tcPr>
          <w:p>
            <w:pPr>
              <w:keepNext/>
              <w:jc w:val="center"/>
            </w:pPr>
            <w:r>
              <w:rPr>
                <w:b/>
              </w:rPr>
              <w:t xml:space="preserve">zbroj dugovne strane</w:t>
            </w:r>
          </w:p>
        </w:tc>
        <w:tc>
          <w:tcPr>
            <w:tcW w:w="1317" w:type="pct"/>
            <w:vAlign w:val="center"/>
          </w:tcPr>
          <w:p>
            <w:pPr>
              <w:keepNext/>
              <w:jc w:val="center"/>
            </w:pPr>
            <w:r>
              <w:rPr>
                <w:b/>
              </w:rPr>
              <w:t xml:space="preserve">zbroj potražne strane</w:t>
            </w:r>
          </w:p>
        </w:tc>
      </w:tr>
      <w:tr>
        <w:trPr/>
        <w:tc>
          <w:tcPr>
            <w:tcW w:w="1074" w:type="pct"/>
            <w:vAlign w:val="center"/>
          </w:tcPr>
          <w:p>
            <w:r>
              <w:t xml:space="preserve">96382</w:t>
            </w:r>
          </w:p>
        </w:tc>
        <w:tc>
          <w:tcPr>
            <w:tcW w:w="1203" w:type="pct"/>
            <w:vAlign w:val="center"/>
          </w:tcPr>
          <w:p>
            <w:pPr>
              <w:keepNext/>
              <w:jc w:val="right"/>
            </w:pPr>
            <w:r>
              <w:t xml:space="preserve"> </w:t>
            </w:r>
          </w:p>
        </w:tc>
        <w:tc>
          <w:tcPr>
            <w:tcW w:w="1404" w:type="pct"/>
            <w:vAlign w:val="center"/>
          </w:tcPr>
          <w:p>
            <w:pPr>
              <w:keepNext/>
              <w:jc w:val="right"/>
            </w:pPr>
            <w:r>
              <w:t xml:space="preserve">464.918,96</w:t>
            </w:r>
          </w:p>
        </w:tc>
        <w:tc>
          <w:tcPr>
            <w:tcW w:w="1317" w:type="pct"/>
            <w:vAlign w:val="center"/>
          </w:tcPr>
          <w:p>
            <w:pPr>
              <w:keepNext/>
              <w:jc w:val="right"/>
            </w:pPr>
            <w:r>
              <w:t xml:space="preserve">464.918,96</w:t>
            </w:r>
          </w:p>
        </w:tc>
      </w:tr>
      <w:tr>
        <w:trPr/>
        <w:tc>
          <w:tcPr>
            <w:tcW w:w="1074" w:type="pct"/>
            <w:vAlign w:val="center"/>
          </w:tcPr>
          <w:p>
            <w:r>
              <w:t xml:space="preserve"> </w:t>
            </w:r>
          </w:p>
        </w:tc>
        <w:tc>
          <w:tcPr>
            <w:tcW w:w="1203" w:type="pct"/>
            <w:vAlign w:val="center"/>
          </w:tcPr>
          <w:p>
            <w:pPr>
              <w:keepNext/>
              <w:jc w:val="right"/>
            </w:pPr>
            <w:r>
              <w:t xml:space="preserve"> </w:t>
            </w:r>
          </w:p>
        </w:tc>
        <w:tc>
          <w:tcPr>
            <w:tcW w:w="1404" w:type="pct"/>
            <w:vAlign w:val="center"/>
          </w:tcPr>
          <w:p>
            <w:pPr>
              <w:keepNext/>
              <w:jc w:val="center"/>
            </w:pPr>
            <w:r>
              <w:rPr>
                <w:b/>
              </w:rPr>
              <w:t xml:space="preserve">stanje na prvi dan</w:t>
            </w:r>
          </w:p>
        </w:tc>
        <w:tc>
          <w:tcPr>
            <w:tcW w:w="1317" w:type="pct"/>
            <w:vAlign w:val="center"/>
          </w:tcPr>
          <w:p>
            <w:pPr>
              <w:keepNext/>
              <w:jc w:val="center"/>
            </w:pPr>
            <w:r>
              <w:rPr>
                <w:b/>
              </w:rPr>
              <w:t xml:space="preserve">stanje na zadnji dan</w:t>
            </w:r>
          </w:p>
        </w:tc>
      </w:tr>
      <w:tr>
        <w:trPr/>
        <w:tc>
          <w:tcPr>
            <w:tcW w:w="1074" w:type="pct"/>
            <w:vAlign w:val="center"/>
          </w:tcPr>
          <w:p>
            <w:r>
              <w:t xml:space="preserve">16382</w:t>
            </w:r>
          </w:p>
        </w:tc>
        <w:tc>
          <w:tcPr>
            <w:tcW w:w="1203" w:type="pct"/>
            <w:vAlign w:val="center"/>
          </w:tcPr>
          <w:p>
            <w:pPr>
              <w:keepNext/>
              <w:jc w:val="right"/>
            </w:pPr>
            <w:r>
              <w:t xml:space="preserve"> </w:t>
            </w:r>
          </w:p>
        </w:tc>
        <w:tc>
          <w:tcPr>
            <w:tcW w:w="1404" w:type="pct"/>
            <w:vAlign w:val="center"/>
          </w:tcPr>
          <w:p>
            <w:pPr>
              <w:keepNext/>
              <w:jc w:val="right"/>
            </w:pPr>
            <w:r>
              <w:t xml:space="preserve">464.918,96</w:t>
            </w:r>
          </w:p>
        </w:tc>
        <w:tc>
          <w:tcPr>
            <w:tcW w:w="1317" w:type="pct"/>
            <w:vAlign w:val="center"/>
          </w:tcPr>
          <w:p>
            <w:pPr>
              <w:keepNext/>
              <w:jc w:val="right"/>
            </w:pPr>
            <w:r>
              <w:t xml:space="preserve">464.918,96</w:t>
            </w:r>
          </w:p>
        </w:tc>
      </w:tr>
    </w:tbl>
    <w:p>
      <w:r>
        <w:t xml:space="preserve"> </w:t>
      </w:r>
    </w:p>
    <w:p>
      <w:r>
        <w:t xml:space="preserve">Za projektiranje Centra za upravljanje rizicima primljena su sredstva od Ministarstva regionalnog razvoja i fondova EU u iznosu od 23.651,20 eura u 2024. godini.</w:t>
      </w:r>
    </w:p>
    <w:tbl>
      <w:tblPr>
        <w:tblStyle w:val="TableGrid"/>
        <w:tblW w:w="2715.64" w:type="pct"/>
      </w:tblPr>
      <w:tblGrid>
        <w:gridCol w:w="2561"/>
        <w:gridCol w:w="3546"/>
        <w:gridCol w:w="3516"/>
      </w:tblGrid>
      <w:tr>
        <w:trPr/>
        <w:tc>
          <w:tcPr>
            <w:tcW w:w="1330" w:type="pct"/>
            <w:vAlign w:val="center"/>
          </w:tcPr>
          <w:p>
            <w:pPr>
              <w:keepNext/>
              <w:jc w:val="center"/>
            </w:pPr>
            <w:r>
              <w:rPr>
                <w:b/>
              </w:rPr>
              <w:t xml:space="preserve">konto</w:t>
            </w:r>
          </w:p>
        </w:tc>
        <w:tc>
          <w:tcPr>
            <w:tcW w:w="1842" w:type="pct"/>
            <w:vAlign w:val="center"/>
          </w:tcPr>
          <w:p>
            <w:pPr>
              <w:keepNext/>
              <w:jc w:val="center"/>
            </w:pPr>
            <w:r>
              <w:rPr>
                <w:b/>
              </w:rPr>
              <w:t xml:space="preserve">2024. godina</w:t>
            </w:r>
          </w:p>
        </w:tc>
        <w:tc>
          <w:tcPr>
            <w:tcW w:w="1826" w:type="pct"/>
            <w:vAlign w:val="center"/>
          </w:tcPr>
          <w:p>
            <w:pPr>
              <w:keepNext/>
              <w:jc w:val="center"/>
            </w:pPr>
            <w:r>
              <w:rPr>
                <w:b/>
              </w:rPr>
              <w:t xml:space="preserve">2025. godina</w:t>
            </w:r>
          </w:p>
        </w:tc>
      </w:tr>
      <w:tr>
        <w:trPr/>
        <w:tc>
          <w:tcPr>
            <w:tcW w:w="1330" w:type="pct"/>
            <w:vAlign w:val="center"/>
          </w:tcPr>
          <w:p>
            <w:r>
              <w:t xml:space="preserve">63821</w:t>
            </w:r>
          </w:p>
        </w:tc>
        <w:tc>
          <w:tcPr>
            <w:tcW w:w="1842" w:type="pct"/>
            <w:vAlign w:val="center"/>
          </w:tcPr>
          <w:p>
            <w:pPr>
              <w:keepNext/>
              <w:jc w:val="right"/>
            </w:pPr>
            <w:r>
              <w:t xml:space="preserve">23.651,20</w:t>
            </w:r>
          </w:p>
        </w:tc>
        <w:tc>
          <w:tcPr>
            <w:tcW w:w="1826" w:type="pct"/>
            <w:vAlign w:val="center"/>
          </w:tcPr>
          <w:p>
            <w:pPr>
              <w:keepNext/>
              <w:jc w:val="right"/>
            </w:pPr>
            <w:r>
              <w:t xml:space="preserve"> </w:t>
            </w:r>
          </w:p>
        </w:tc>
      </w:tr>
      <w:tr>
        <w:trPr/>
        <w:tc>
          <w:tcPr>
            <w:tcW w:w="1330" w:type="pct"/>
            <w:vAlign w:val="center"/>
          </w:tcPr>
          <w:p>
            <w:r>
              <w:t xml:space="preserve">4264</w:t>
            </w:r>
          </w:p>
        </w:tc>
        <w:tc>
          <w:tcPr>
            <w:tcW w:w="1842" w:type="pct"/>
            <w:vAlign w:val="center"/>
          </w:tcPr>
          <w:p>
            <w:pPr>
              <w:keepNext/>
              <w:jc w:val="right"/>
            </w:pPr>
            <w:r>
              <w:t xml:space="preserve">12.468,75</w:t>
            </w:r>
          </w:p>
        </w:tc>
        <w:tc>
          <w:tcPr>
            <w:tcW w:w="1826" w:type="pct"/>
            <w:vAlign w:val="center"/>
          </w:tcPr>
          <w:p>
            <w:pPr>
              <w:keepNext/>
              <w:jc w:val="right"/>
            </w:pPr>
            <w:r>
              <w:t xml:space="preserve">11.182,45</w:t>
            </w:r>
          </w:p>
        </w:tc>
      </w:tr>
    </w:tbl>
    <w:p>
      <w:r>
        <w:t xml:space="preserve"> </w:t>
      </w:r>
    </w:p>
    <w:p>
      <w:r>
        <w:rPr>
          <w:b/>
        </w:rPr>
        <w:t xml:space="preserve">Ukupno izvor 581</w:t>
      </w:r>
    </w:p>
    <w:tbl>
      <w:tblPr>
        <w:tblStyle w:val="TableGrid"/>
        <w:tblW w:w="3194.165" w:type="pct"/>
      </w:tblPr>
      <w:tblGrid>
        <w:gridCol w:w="1327"/>
        <w:gridCol w:w="3032"/>
        <w:gridCol w:w="2646"/>
        <w:gridCol w:w="2620"/>
      </w:tblGrid>
      <w:tr>
        <w:trPr/>
        <w:tc>
          <w:tcPr>
            <w:tcW w:w="689" w:type="pct"/>
            <w:vAlign w:val="center"/>
          </w:tcPr>
          <w:p>
            <w:pPr>
              <w:keepNext/>
              <w:jc w:val="center"/>
            </w:pPr>
            <w:r>
              <w:rPr>
                <w:b/>
              </w:rPr>
              <w:t xml:space="preserve">konto</w:t>
            </w:r>
          </w:p>
        </w:tc>
        <w:tc>
          <w:tcPr>
            <w:tcW w:w="1575" w:type="pct"/>
            <w:vAlign w:val="center"/>
          </w:tcPr>
          <w:p>
            <w:pPr>
              <w:keepNext/>
              <w:jc w:val="center"/>
            </w:pPr>
            <w:r>
              <w:rPr>
                <w:b/>
              </w:rPr>
              <w:t xml:space="preserve">2024. godina</w:t>
            </w:r>
          </w:p>
        </w:tc>
        <w:tc>
          <w:tcPr>
            <w:tcW w:w="1374" w:type="pct"/>
            <w:vAlign w:val="center"/>
          </w:tcPr>
          <w:p>
            <w:pPr>
              <w:keepNext/>
              <w:jc w:val="center"/>
            </w:pPr>
            <w:r>
              <w:rPr>
                <w:b/>
              </w:rPr>
              <w:t xml:space="preserve">2025. godina</w:t>
            </w:r>
          </w:p>
        </w:tc>
        <w:tc>
          <w:tcPr>
            <w:tcW w:w="1360" w:type="pct"/>
            <w:vAlign w:val="center"/>
          </w:tcPr>
          <w:p>
            <w:pPr>
              <w:keepNext/>
              <w:jc w:val="center"/>
            </w:pPr>
            <w:r>
              <w:rPr>
                <w:b/>
              </w:rPr>
              <w:t xml:space="preserve">2025. godina </w:t>
            </w:r>
          </w:p>
        </w:tc>
      </w:tr>
      <w:tr>
        <w:trPr/>
        <w:tc>
          <w:tcPr>
            <w:tcW w:w="689" w:type="pct"/>
            <w:vAlign w:val="center"/>
          </w:tcPr>
          <w:p>
            <w:r>
              <w:t xml:space="preserve">63821</w:t>
            </w:r>
          </w:p>
        </w:tc>
        <w:tc>
          <w:tcPr>
            <w:tcW w:w="1575" w:type="pct"/>
            <w:vAlign w:val="center"/>
          </w:tcPr>
          <w:p>
            <w:pPr>
              <w:keepNext/>
              <w:jc w:val="right"/>
            </w:pPr>
            <w:r>
              <w:t xml:space="preserve">237.247,25</w:t>
            </w:r>
          </w:p>
        </w:tc>
        <w:tc>
          <w:tcPr>
            <w:tcW w:w="1374" w:type="pct"/>
            <w:vAlign w:val="center"/>
          </w:tcPr>
          <w:p>
            <w:pPr>
              <w:keepNext/>
              <w:jc w:val="right"/>
            </w:pPr>
            <w:r>
              <w:t xml:space="preserve">1.420.480,99</w:t>
            </w:r>
          </w:p>
        </w:tc>
        <w:tc>
          <w:tcPr>
            <w:tcW w:w="1360" w:type="pct"/>
            <w:vAlign w:val="center"/>
          </w:tcPr>
          <w:p>
            <w:pPr>
              <w:keepNext/>
              <w:jc w:val="right"/>
            </w:pPr>
            <w:r>
              <w:t xml:space="preserve"> </w:t>
            </w:r>
          </w:p>
        </w:tc>
      </w:tr>
      <w:tr>
        <w:trPr/>
        <w:tc>
          <w:tcPr>
            <w:tcW w:w="689" w:type="pct"/>
            <w:vAlign w:val="center"/>
          </w:tcPr>
          <w:p>
            <w:r>
              <w:t xml:space="preserve">3233</w:t>
            </w:r>
          </w:p>
        </w:tc>
        <w:tc>
          <w:tcPr>
            <w:tcW w:w="1575" w:type="pct"/>
            <w:vAlign w:val="center"/>
          </w:tcPr>
          <w:p>
            <w:pPr>
              <w:keepNext/>
              <w:jc w:val="right"/>
            </w:pPr>
            <w:r>
              <w:t xml:space="preserve"> </w:t>
            </w:r>
          </w:p>
        </w:tc>
        <w:tc>
          <w:tcPr>
            <w:tcW w:w="1374" w:type="pct"/>
            <w:vAlign w:val="center"/>
          </w:tcPr>
          <w:p>
            <w:pPr>
              <w:keepNext/>
              <w:jc w:val="right"/>
            </w:pPr>
            <w:r>
              <w:t xml:space="preserve">3.419,96</w:t>
            </w:r>
          </w:p>
        </w:tc>
        <w:tc>
          <w:tcPr>
            <w:tcW w:w="1360" w:type="pct"/>
            <w:vAlign w:val="center"/>
          </w:tcPr>
          <w:p>
            <w:pPr>
              <w:keepNext/>
              <w:jc w:val="right"/>
            </w:pPr>
            <w:r>
              <w:t xml:space="preserve"> </w:t>
            </w:r>
          </w:p>
        </w:tc>
      </w:tr>
      <w:tr>
        <w:trPr/>
        <w:tc>
          <w:tcPr>
            <w:tcW w:w="689" w:type="pct"/>
            <w:vAlign w:val="center"/>
          </w:tcPr>
          <w:p>
            <w:r>
              <w:t xml:space="preserve">3237</w:t>
            </w:r>
          </w:p>
        </w:tc>
        <w:tc>
          <w:tcPr>
            <w:tcW w:w="1575" w:type="pct"/>
            <w:vAlign w:val="center"/>
          </w:tcPr>
          <w:p>
            <w:pPr>
              <w:keepNext/>
              <w:jc w:val="right"/>
            </w:pPr>
            <w:r>
              <w:t xml:space="preserve">1.245,42</w:t>
            </w:r>
          </w:p>
        </w:tc>
        <w:tc>
          <w:tcPr>
            <w:tcW w:w="1374" w:type="pct"/>
            <w:vAlign w:val="center"/>
          </w:tcPr>
          <w:p>
            <w:pPr>
              <w:keepNext/>
              <w:jc w:val="right"/>
            </w:pPr>
            <w:r>
              <w:t xml:space="preserve">12.957,18</w:t>
            </w:r>
          </w:p>
        </w:tc>
        <w:tc>
          <w:tcPr>
            <w:tcW w:w="1360" w:type="pct"/>
            <w:vAlign w:val="center"/>
          </w:tcPr>
          <w:p>
            <w:pPr>
              <w:keepNext/>
              <w:jc w:val="right"/>
            </w:pPr>
            <w:r>
              <w:t xml:space="preserve"> </w:t>
            </w:r>
          </w:p>
        </w:tc>
      </w:tr>
      <w:tr>
        <w:trPr/>
        <w:tc>
          <w:tcPr>
            <w:tcW w:w="689" w:type="pct"/>
            <w:vAlign w:val="center"/>
          </w:tcPr>
          <w:p>
            <w:r>
              <w:t xml:space="preserve">4212</w:t>
            </w:r>
          </w:p>
        </w:tc>
        <w:tc>
          <w:tcPr>
            <w:tcW w:w="1575" w:type="pct"/>
            <w:vAlign w:val="center"/>
          </w:tcPr>
          <w:p>
            <w:pPr>
              <w:keepNext/>
              <w:jc w:val="right"/>
            </w:pPr>
            <w:r>
              <w:t xml:space="preserve"> </w:t>
            </w:r>
          </w:p>
        </w:tc>
        <w:tc>
          <w:tcPr>
            <w:tcW w:w="1374" w:type="pct"/>
            <w:vAlign w:val="center"/>
          </w:tcPr>
          <w:p>
            <w:pPr>
              <w:keepNext/>
              <w:jc w:val="right"/>
            </w:pPr>
            <w:r>
              <w:t xml:space="preserve">943.735,26</w:t>
            </w:r>
          </w:p>
        </w:tc>
        <w:tc>
          <w:tcPr>
            <w:tcW w:w="1360" w:type="pct"/>
            <w:vAlign w:val="center"/>
          </w:tcPr>
          <w:p>
            <w:pPr>
              <w:keepNext/>
              <w:jc w:val="right"/>
            </w:pPr>
            <w:r>
              <w:t xml:space="preserve"> </w:t>
            </w:r>
          </w:p>
        </w:tc>
      </w:tr>
      <w:tr>
        <w:trPr/>
        <w:tc>
          <w:tcPr>
            <w:tcW w:w="689" w:type="pct"/>
            <w:vAlign w:val="center"/>
          </w:tcPr>
          <w:p>
            <w:r>
              <w:t xml:space="preserve">4214</w:t>
            </w:r>
          </w:p>
        </w:tc>
        <w:tc>
          <w:tcPr>
            <w:tcW w:w="1575" w:type="pct"/>
            <w:vAlign w:val="center"/>
          </w:tcPr>
          <w:p>
            <w:pPr>
              <w:keepNext/>
              <w:jc w:val="right"/>
            </w:pPr>
            <w:r>
              <w:t xml:space="preserve">212.350,63</w:t>
            </w:r>
          </w:p>
        </w:tc>
        <w:tc>
          <w:tcPr>
            <w:tcW w:w="1374" w:type="pct"/>
            <w:vAlign w:val="center"/>
          </w:tcPr>
          <w:p>
            <w:pPr>
              <w:keepNext/>
              <w:jc w:val="right"/>
            </w:pPr>
            <w:r>
              <w:t xml:space="preserve">402.930,22</w:t>
            </w:r>
          </w:p>
        </w:tc>
        <w:tc>
          <w:tcPr>
            <w:tcW w:w="1360" w:type="pct"/>
            <w:vAlign w:val="center"/>
          </w:tcPr>
          <w:p>
            <w:pPr>
              <w:keepNext/>
              <w:jc w:val="right"/>
            </w:pPr>
            <w:r>
              <w:t xml:space="preserve"> </w:t>
            </w:r>
          </w:p>
        </w:tc>
      </w:tr>
      <w:tr>
        <w:trPr/>
        <w:tc>
          <w:tcPr>
            <w:tcW w:w="689" w:type="pct"/>
            <w:vAlign w:val="center"/>
          </w:tcPr>
          <w:p>
            <w:r>
              <w:t xml:space="preserve">4264</w:t>
            </w:r>
          </w:p>
        </w:tc>
        <w:tc>
          <w:tcPr>
            <w:tcW w:w="1575" w:type="pct"/>
            <w:vAlign w:val="center"/>
          </w:tcPr>
          <w:p>
            <w:pPr>
              <w:keepNext/>
              <w:jc w:val="right"/>
            </w:pPr>
            <w:r>
              <w:t xml:space="preserve">12.468,75</w:t>
            </w:r>
          </w:p>
        </w:tc>
        <w:tc>
          <w:tcPr>
            <w:tcW w:w="1374" w:type="pct"/>
            <w:vAlign w:val="center"/>
          </w:tcPr>
          <w:p>
            <w:pPr>
              <w:keepNext/>
              <w:jc w:val="right"/>
            </w:pPr>
            <w:r>
              <w:t xml:space="preserve">11.182,45</w:t>
            </w:r>
          </w:p>
        </w:tc>
        <w:tc>
          <w:tcPr>
            <w:tcW w:w="1360" w:type="pct"/>
            <w:vAlign w:val="center"/>
          </w:tcPr>
          <w:p>
            <w:pPr>
              <w:keepNext/>
              <w:jc w:val="right"/>
            </w:pPr>
            <w:r>
              <w:t xml:space="preserve"> </w:t>
            </w:r>
          </w:p>
        </w:tc>
      </w:tr>
      <w:tr>
        <w:trPr/>
        <w:tc>
          <w:tcPr>
            <w:tcW w:w="689" w:type="pct"/>
            <w:vAlign w:val="center"/>
          </w:tcPr>
          <w:p>
            <w:r>
              <w:t xml:space="preserve"> </w:t>
            </w:r>
          </w:p>
        </w:tc>
        <w:tc>
          <w:tcPr>
            <w:tcW w:w="1575" w:type="pct"/>
            <w:vAlign w:val="center"/>
          </w:tcPr>
          <w:p>
            <w:pPr>
              <w:keepNext/>
              <w:jc w:val="right"/>
            </w:pPr>
            <w:r>
              <w:t xml:space="preserve"> </w:t>
            </w:r>
          </w:p>
        </w:tc>
        <w:tc>
          <w:tcPr>
            <w:tcW w:w="1374" w:type="pct"/>
            <w:vAlign w:val="center"/>
          </w:tcPr>
          <w:p>
            <w:pPr>
              <w:keepNext/>
              <w:jc w:val="center"/>
            </w:pPr>
            <w:r>
              <w:rPr>
                <w:b/>
              </w:rPr>
              <w:t xml:space="preserve">zbroj dugovne strane</w:t>
            </w:r>
          </w:p>
        </w:tc>
        <w:tc>
          <w:tcPr>
            <w:tcW w:w="1360" w:type="pct"/>
            <w:vAlign w:val="center"/>
          </w:tcPr>
          <w:p>
            <w:pPr>
              <w:keepNext/>
              <w:jc w:val="center"/>
            </w:pPr>
            <w:r>
              <w:rPr>
                <w:b/>
              </w:rPr>
              <w:t xml:space="preserve">zbroj potražne strane</w:t>
            </w:r>
          </w:p>
        </w:tc>
      </w:tr>
      <w:tr>
        <w:trPr/>
        <w:tc>
          <w:tcPr>
            <w:tcW w:w="689" w:type="pct"/>
            <w:vAlign w:val="center"/>
          </w:tcPr>
          <w:p>
            <w:r>
              <w:t xml:space="preserve">96382</w:t>
            </w:r>
          </w:p>
        </w:tc>
        <w:tc>
          <w:tcPr>
            <w:tcW w:w="1575" w:type="pct"/>
            <w:vAlign w:val="center"/>
          </w:tcPr>
          <w:p>
            <w:pPr>
              <w:keepNext/>
              <w:jc w:val="right"/>
            </w:pPr>
            <w:r>
              <w:t xml:space="preserve"> </w:t>
            </w:r>
          </w:p>
        </w:tc>
        <w:tc>
          <w:tcPr>
            <w:tcW w:w="1374" w:type="pct"/>
            <w:vAlign w:val="center"/>
          </w:tcPr>
          <w:p>
            <w:pPr>
              <w:keepNext/>
              <w:jc w:val="right"/>
            </w:pPr>
            <w:r>
              <w:t xml:space="preserve">1.420.480,99</w:t>
            </w:r>
          </w:p>
        </w:tc>
        <w:tc>
          <w:tcPr>
            <w:tcW w:w="1360" w:type="pct"/>
            <w:vAlign w:val="center"/>
          </w:tcPr>
          <w:p>
            <w:pPr>
              <w:keepNext/>
              <w:jc w:val="right"/>
            </w:pPr>
            <w:r>
              <w:t xml:space="preserve">1.420.480,99</w:t>
            </w:r>
          </w:p>
        </w:tc>
      </w:tr>
      <w:tr>
        <w:trPr/>
        <w:tc>
          <w:tcPr>
            <w:tcW w:w="689" w:type="pct"/>
            <w:vAlign w:val="center"/>
          </w:tcPr>
          <w:p>
            <w:r>
              <w:t xml:space="preserve"> </w:t>
            </w:r>
          </w:p>
        </w:tc>
        <w:tc>
          <w:tcPr>
            <w:tcW w:w="1575" w:type="pct"/>
            <w:vAlign w:val="center"/>
          </w:tcPr>
          <w:p>
            <w:pPr>
              <w:keepNext/>
              <w:jc w:val="right"/>
            </w:pPr>
            <w:r>
              <w:t xml:space="preserve"> </w:t>
            </w:r>
          </w:p>
        </w:tc>
        <w:tc>
          <w:tcPr>
            <w:tcW w:w="1374" w:type="pct"/>
            <w:vAlign w:val="center"/>
          </w:tcPr>
          <w:p>
            <w:pPr>
              <w:keepNext/>
              <w:jc w:val="center"/>
            </w:pPr>
            <w:r>
              <w:rPr>
                <w:b/>
              </w:rPr>
              <w:t xml:space="preserve">stanje na prvi dan</w:t>
            </w:r>
          </w:p>
        </w:tc>
        <w:tc>
          <w:tcPr>
            <w:tcW w:w="1360" w:type="pct"/>
            <w:vAlign w:val="center"/>
          </w:tcPr>
          <w:p>
            <w:pPr>
              <w:keepNext/>
              <w:jc w:val="center"/>
            </w:pPr>
            <w:r>
              <w:rPr>
                <w:b/>
              </w:rPr>
              <w:t xml:space="preserve">stanje na zadnji dan</w:t>
            </w:r>
          </w:p>
        </w:tc>
      </w:tr>
      <w:tr>
        <w:trPr/>
        <w:tc>
          <w:tcPr>
            <w:tcW w:w="689" w:type="pct"/>
            <w:vAlign w:val="center"/>
          </w:tcPr>
          <w:p>
            <w:r>
              <w:t xml:space="preserve">16382</w:t>
            </w:r>
          </w:p>
        </w:tc>
        <w:tc>
          <w:tcPr>
            <w:tcW w:w="1575" w:type="pct"/>
            <w:vAlign w:val="center"/>
          </w:tcPr>
          <w:p>
            <w:pPr>
              <w:keepNext/>
              <w:jc w:val="right"/>
            </w:pPr>
            <w:r>
              <w:t xml:space="preserve"> </w:t>
            </w:r>
          </w:p>
        </w:tc>
        <w:tc>
          <w:tcPr>
            <w:tcW w:w="1374" w:type="pct"/>
            <w:vAlign w:val="center"/>
          </w:tcPr>
          <w:p>
            <w:pPr>
              <w:keepNext/>
              <w:jc w:val="right"/>
            </w:pPr>
            <w:r>
              <w:t xml:space="preserve">1.420.480,99</w:t>
            </w:r>
          </w:p>
        </w:tc>
        <w:tc>
          <w:tcPr>
            <w:tcW w:w="1360" w:type="pct"/>
            <w:vAlign w:val="center"/>
          </w:tcPr>
          <w:p>
            <w:pPr>
              <w:keepNext/>
              <w:jc w:val="right"/>
            </w:pPr>
            <w:r>
              <w:t xml:space="preserve">1.420.480,99</w:t>
            </w:r>
          </w:p>
        </w:tc>
      </w:tr>
      <w:tr>
        <w:trPr/>
        <w:tc>
          <w:tcPr>
            <w:tcW w:w="689" w:type="pct"/>
            <w:vAlign w:val="center"/>
          </w:tcPr>
          <w:p>
            <w:r>
              <w:t xml:space="preserve">27521</w:t>
            </w:r>
          </w:p>
        </w:tc>
        <w:tc>
          <w:tcPr>
            <w:tcW w:w="1575" w:type="pct"/>
            <w:vAlign w:val="center"/>
          </w:tcPr>
          <w:p>
            <w:pPr>
              <w:keepNext/>
              <w:jc w:val="right"/>
            </w:pPr>
            <w:r>
              <w:t xml:space="preserve"> </w:t>
            </w:r>
          </w:p>
        </w:tc>
        <w:tc>
          <w:tcPr>
            <w:tcW w:w="1374" w:type="pct"/>
            <w:vAlign w:val="center"/>
          </w:tcPr>
          <w:p>
            <w:pPr>
              <w:keepNext/>
              <w:jc w:val="right"/>
            </w:pPr>
            <w:r>
              <w:t xml:space="preserve">726.259,20</w:t>
            </w:r>
          </w:p>
        </w:tc>
        <w:tc>
          <w:tcPr>
            <w:tcW w:w="1360" w:type="pct"/>
            <w:vAlign w:val="center"/>
          </w:tcPr>
          <w:p>
            <w:pPr>
              <w:keepNext/>
              <w:jc w:val="right"/>
            </w:pPr>
            <w:r>
              <w:t xml:space="preserve">112.709,62</w:t>
            </w:r>
          </w:p>
        </w:tc>
      </w:tr>
      <w:tr>
        <w:trPr/>
        <w:tc>
          <w:tcPr>
            <w:tcW w:w="689" w:type="pct"/>
            <w:vAlign w:val="center"/>
          </w:tcPr>
          <w:p>
            <w:r>
              <w:t xml:space="preserve">99171</w:t>
            </w:r>
          </w:p>
        </w:tc>
        <w:tc>
          <w:tcPr>
            <w:tcW w:w="1575" w:type="pct"/>
            <w:vAlign w:val="center"/>
          </w:tcPr>
          <w:p>
            <w:pPr>
              <w:keepNext/>
              <w:jc w:val="right"/>
            </w:pPr>
            <w:r>
              <w:t xml:space="preserve"> </w:t>
            </w:r>
          </w:p>
        </w:tc>
        <w:tc>
          <w:tcPr>
            <w:tcW w:w="1374" w:type="pct"/>
            <w:vAlign w:val="center"/>
          </w:tcPr>
          <w:p>
            <w:pPr>
              <w:keepNext/>
              <w:jc w:val="right"/>
            </w:pPr>
            <w:r>
              <w:t xml:space="preserve">1.452.518,42</w:t>
            </w:r>
          </w:p>
        </w:tc>
        <w:tc>
          <w:tcPr>
            <w:tcW w:w="1360" w:type="pct"/>
            <w:vAlign w:val="center"/>
          </w:tcPr>
          <w:p>
            <w:pPr>
              <w:keepNext/>
              <w:jc w:val="right"/>
            </w:pPr>
            <w:r>
              <w:t xml:space="preserve">496.956,39</w:t>
            </w:r>
          </w:p>
        </w:tc>
      </w:tr>
    </w:tbl>
    <w:p>
      <w:r>
        <w:t xml:space="preserve"> </w:t>
      </w:r>
    </w:p>
    <w:p>
      <w:r>
        <w:rPr>
          <w:b/>
        </w:rPr>
        <w:t xml:space="preserve">562 Kohezijski fond</w:t>
      </w:r>
    </w:p>
    <w:p>
      <w:r>
        <w:t xml:space="preserve">Iz kohezijskog fonda zaprimljena su EU sredstva za Projekt "Zamisli muzej za sve" u iznosu od 32.724,99 eura, koja su zabilježena na kontima 63821, 96382 i 16382.</w:t>
      </w:r>
    </w:p>
    <w:p>
      <w:r>
        <w:t xml:space="preserve">Od zaprimljenih sredstava ukupno je utrošeno 8.935,18 eura. Od ukupnog iznosa 3.244,50 eura potrošena su za plaće projektnog tima, konto 3111, 641,11 eura za doprinose, konto 3132, 4.466,75 eura za usluge promidžbe Projekta, konto 3233 i ostale rashode projekta u iznosu od 582,82 eura, konto 3299.</w:t>
      </w:r>
    </w:p>
    <w:p>
      <w:r>
        <w:t xml:space="preserve">Ukupna vrijednost projekta zabilježena je u izvanbilančnim zapisima kao potraživanje po Ugovorima o dodijeljenim bespovratnim sredstvima EU fondova, konto 99171 i to na početku 4.601.965,75 eura i na kraju razdoblja 4.569.240,76 eura.</w:t>
      </w:r>
    </w:p>
    <w:p>
      <w:r>
        <w:rPr>
          <w:b/>
        </w:rPr>
        <w:t xml:space="preserve">510 Programi Unije</w:t>
      </w:r>
    </w:p>
    <w:p>
      <w:r>
        <w:t xml:space="preserve">U programima Unije realiziran je jedan projekt pod nazivom Erasmus +prvi koraci. U 2024. godini zaprimljena su sredstva od EU u iznosu od 5.626,67 eura, konto 63811 i tijekom 2024. godine utrošeno je 4.522,89 eura promidžbu projekta, konto 3233.</w:t>
      </w:r>
    </w:p>
    <w:p>
      <w:r>
        <w:rPr>
          <w:b/>
        </w:rPr>
        <w:t xml:space="preserve">561 Europski socijalni fond plus</w:t>
      </w:r>
    </w:p>
    <w:p>
      <w:r>
        <w:t xml:space="preserve">Iz ovog izvora realiziran je projekt "Slatino zaželi III". Sredstva su zaprimljena u 2024. i 2025. godini. Prihodi zaprimljeni u 2025. godini zabilježeni su i na kontima 96385,16385. Utrošak sredstava prikazan je po pojedinim kontima troškova.</w:t>
      </w:r>
    </w:p>
    <w:p>
      <w:r>
        <w:t xml:space="preserve">Ovaj projekt sadrži nacionalni udio koji je zaprimljen u 2024. godini u iznosu od 31.185,00 eura i u 2025. godini u iznosu od 59.590,84 eura knjiženi na kontima skupine 6331. Realizirani rashodi prikazani su po kontima troškova.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40217e8a14685" /></Relationships>
</file>