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A410E1" w:rsidP="00433B2C">
      <w:pPr>
        <w:rPr>
          <w:rFonts w:ascii="Arial Narrow" w:hAnsi="Arial Narrow"/>
        </w:rPr>
      </w:pPr>
      <w:r>
        <w:rPr>
          <w:rFonts w:ascii="Arial Narrow" w:hAnsi="Arial Narrow"/>
        </w:rPr>
        <w:t>KLASA: 406-04/22-01</w:t>
      </w:r>
      <w:r w:rsidR="00AA7906">
        <w:rPr>
          <w:rFonts w:ascii="Arial Narrow" w:hAnsi="Arial Narrow"/>
        </w:rPr>
        <w:t>/</w:t>
      </w:r>
      <w:r>
        <w:rPr>
          <w:rFonts w:ascii="Arial Narrow" w:hAnsi="Arial Narrow"/>
        </w:rPr>
        <w:t>1</w:t>
      </w:r>
      <w:r w:rsidR="00AA7906">
        <w:rPr>
          <w:rFonts w:ascii="Arial Narrow" w:hAnsi="Arial Narrow"/>
        </w:rPr>
        <w:t>4</w:t>
      </w:r>
    </w:p>
    <w:p w:rsidR="00433B2C" w:rsidRPr="00E6525E" w:rsidRDefault="00A410E1" w:rsidP="00433B2C">
      <w:pPr>
        <w:rPr>
          <w:rFonts w:ascii="Arial Narrow" w:hAnsi="Arial Narrow"/>
          <w:color w:val="FF0000"/>
        </w:rPr>
      </w:pPr>
      <w:r>
        <w:rPr>
          <w:rFonts w:ascii="Arial Narrow" w:hAnsi="Arial Narrow"/>
        </w:rPr>
        <w:t>URBROJ: 2189-2-04-02/02-23</w:t>
      </w:r>
      <w:r w:rsidR="00702200">
        <w:rPr>
          <w:rFonts w:ascii="Arial Narrow" w:hAnsi="Arial Narrow"/>
        </w:rPr>
        <w:t>-</w:t>
      </w:r>
      <w:r w:rsidR="00672D0C" w:rsidRPr="00F6479C">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r w:rsidR="00A410E1">
        <w:rPr>
          <w:rFonts w:ascii="Arial Narrow" w:hAnsi="Arial Narrow"/>
          <w:b/>
          <w:color w:val="auto"/>
          <w:sz w:val="40"/>
          <w:szCs w:val="40"/>
          <w:lang w:eastAsia="ar-SA"/>
        </w:rPr>
        <w:t xml:space="preserve"> u </w:t>
      </w:r>
      <w:proofErr w:type="spellStart"/>
      <w:r w:rsidR="00A410E1">
        <w:rPr>
          <w:rFonts w:ascii="Arial Narrow" w:hAnsi="Arial Narrow"/>
          <w:b/>
          <w:color w:val="auto"/>
          <w:sz w:val="40"/>
          <w:szCs w:val="40"/>
          <w:lang w:eastAsia="ar-SA"/>
        </w:rPr>
        <w:t>Poduzetničkoj</w:t>
      </w:r>
      <w:proofErr w:type="spellEnd"/>
      <w:r w:rsidR="00A410E1">
        <w:rPr>
          <w:rFonts w:ascii="Arial Narrow" w:hAnsi="Arial Narrow"/>
          <w:b/>
          <w:color w:val="auto"/>
          <w:sz w:val="40"/>
          <w:szCs w:val="40"/>
          <w:lang w:eastAsia="ar-SA"/>
        </w:rPr>
        <w:t xml:space="preserve"> </w:t>
      </w:r>
      <w:proofErr w:type="spellStart"/>
      <w:r w:rsidR="00A410E1">
        <w:rPr>
          <w:rFonts w:ascii="Arial Narrow" w:hAnsi="Arial Narrow"/>
          <w:b/>
          <w:color w:val="auto"/>
          <w:sz w:val="40"/>
          <w:szCs w:val="40"/>
          <w:lang w:eastAsia="ar-SA"/>
        </w:rPr>
        <w:t>zoni</w:t>
      </w:r>
      <w:proofErr w:type="spellEnd"/>
      <w:r>
        <w:rPr>
          <w:rFonts w:ascii="Arial Narrow" w:hAnsi="Arial Narrow"/>
          <w:b/>
          <w:color w:val="auto"/>
          <w:sz w:val="40"/>
          <w:szCs w:val="40"/>
          <w:lang w:eastAsia="ar-SA"/>
        </w:rPr>
        <w:t xml:space="preserve"> </w:t>
      </w:r>
      <w:r w:rsidR="00A410E1">
        <w:rPr>
          <w:rFonts w:ascii="Arial Narrow" w:hAnsi="Arial Narrow"/>
          <w:b/>
          <w:color w:val="auto"/>
          <w:sz w:val="40"/>
          <w:szCs w:val="40"/>
          <w:lang w:eastAsia="ar-SA"/>
        </w:rPr>
        <w:t>„</w:t>
      </w:r>
      <w:proofErr w:type="spellStart"/>
      <w:r w:rsidR="00A410E1">
        <w:rPr>
          <w:rFonts w:ascii="Arial Narrow" w:hAnsi="Arial Narrow"/>
          <w:b/>
          <w:color w:val="auto"/>
          <w:sz w:val="40"/>
          <w:szCs w:val="40"/>
          <w:lang w:eastAsia="ar-SA"/>
        </w:rPr>
        <w:t>Turbina</w:t>
      </w:r>
      <w:proofErr w:type="spellEnd"/>
      <w:r w:rsidR="00A410E1">
        <w:rPr>
          <w:rFonts w:ascii="Arial Narrow" w:hAnsi="Arial Narrow"/>
          <w:b/>
          <w:color w:val="auto"/>
          <w:sz w:val="40"/>
          <w:szCs w:val="40"/>
          <w:lang w:eastAsia="ar-SA"/>
        </w:rPr>
        <w:t xml:space="preserve"> 3</w:t>
      </w:r>
      <w:r w:rsidRPr="00561FEF">
        <w:rPr>
          <w:rFonts w:ascii="Arial Narrow" w:hAnsi="Arial Narrow"/>
          <w:b/>
          <w:color w:val="auto"/>
          <w:sz w:val="40"/>
          <w:szCs w:val="40"/>
          <w:lang w:eastAsia="ar-SA"/>
        </w:rPr>
        <w:t xml:space="preserve">“ u </w:t>
      </w:r>
      <w:proofErr w:type="spellStart"/>
      <w:r w:rsidRPr="00561FEF">
        <w:rPr>
          <w:rFonts w:ascii="Arial Narrow" w:hAnsi="Arial Narrow"/>
          <w:b/>
          <w:color w:val="auto"/>
          <w:sz w:val="40"/>
          <w:szCs w:val="40"/>
          <w:lang w:eastAsia="ar-SA"/>
        </w:rPr>
        <w:t>Slatini</w:t>
      </w:r>
      <w:proofErr w:type="spellEnd"/>
      <w:r w:rsidR="00A410E1">
        <w:rPr>
          <w:rFonts w:ascii="Arial Narrow" w:hAnsi="Arial Narrow"/>
          <w:b/>
          <w:color w:val="auto"/>
          <w:sz w:val="40"/>
          <w:szCs w:val="40"/>
          <w:lang w:eastAsia="ar-SA"/>
        </w:rPr>
        <w:t xml:space="preserve"> – 1. </w:t>
      </w:r>
      <w:proofErr w:type="spellStart"/>
      <w:r w:rsidR="00A410E1">
        <w:rPr>
          <w:rFonts w:ascii="Arial Narrow" w:hAnsi="Arial Narrow"/>
          <w:b/>
          <w:color w:val="auto"/>
          <w:sz w:val="40"/>
          <w:szCs w:val="40"/>
          <w:lang w:eastAsia="ar-SA"/>
        </w:rPr>
        <w:t>faza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A410E1">
        <w:rPr>
          <w:b/>
          <w:bCs/>
          <w:noProof/>
          <w:color w:val="00000A"/>
          <w:sz w:val="22"/>
          <w:szCs w:val="22"/>
          <w:lang w:val="hr-HR"/>
        </w:rPr>
        <w:t>44</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A410E1" w:rsidRPr="00DF6822">
        <w:rPr>
          <w:rFonts w:ascii="Arial" w:hAnsi="Arial" w:cs="Arial"/>
          <w:color w:val="auto"/>
          <w:sz w:val="22"/>
          <w:szCs w:val="22"/>
        </w:rPr>
        <w:t xml:space="preserve">veljača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783007">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7</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675F0B" w:rsidRDefault="00675F0B" w:rsidP="00922B0A">
      <w:pPr>
        <w:tabs>
          <w:tab w:val="left" w:pos="1402"/>
        </w:tabs>
        <w:rPr>
          <w:rFonts w:cs="Arial"/>
        </w:rPr>
      </w:pPr>
    </w:p>
    <w:p w:rsidR="00DF6822" w:rsidRDefault="00DF6822" w:rsidP="00922B0A">
      <w:pPr>
        <w:rPr>
          <w:rFonts w:ascii="Arial" w:hAnsi="Arial" w:cs="Arial"/>
          <w:b/>
          <w:bCs/>
          <w:color w:val="000000"/>
          <w:sz w:val="22"/>
          <w:szCs w:val="22"/>
        </w:rPr>
        <w:sectPr w:rsidR="00DF6822"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D40B3" w:rsidP="00922B0A">
      <w:r>
        <w:rPr>
          <w:rFonts w:ascii="Arial" w:hAnsi="Arial" w:cs="Arial"/>
          <w:color w:val="000000"/>
          <w:sz w:val="22"/>
          <w:szCs w:val="22"/>
        </w:rPr>
        <w:t>Ev. broj: 44/23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5429B7">
        <w:rPr>
          <w:rFonts w:ascii="Arial" w:hAnsi="Arial" w:cs="Arial"/>
          <w:color w:val="auto"/>
          <w:sz w:val="22"/>
          <w:szCs w:val="22"/>
        </w:rPr>
        <w:t>1.041.874,05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6F0672">
        <w:rPr>
          <w:rFonts w:ascii="Arial" w:hAnsi="Arial" w:cs="Arial"/>
          <w:noProof w:val="0"/>
          <w:color w:val="000000"/>
          <w:lang w:val="en-US" w:eastAsia="en-US"/>
        </w:rPr>
        <w:t xml:space="preserve">03. </w:t>
      </w:r>
      <w:proofErr w:type="spellStart"/>
      <w:r w:rsidR="006F0672">
        <w:rPr>
          <w:rFonts w:ascii="Arial" w:hAnsi="Arial" w:cs="Arial"/>
          <w:noProof w:val="0"/>
          <w:color w:val="000000"/>
          <w:lang w:val="en-US" w:eastAsia="en-US"/>
        </w:rPr>
        <w:t>veljače</w:t>
      </w:r>
      <w:proofErr w:type="spellEnd"/>
      <w:r w:rsidR="006F0672">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do </w:t>
      </w:r>
      <w:r w:rsidR="006F0672">
        <w:rPr>
          <w:rFonts w:ascii="Arial" w:hAnsi="Arial" w:cs="Arial"/>
          <w:noProof w:val="0"/>
          <w:color w:val="000000"/>
          <w:lang w:val="en-US" w:eastAsia="en-US"/>
        </w:rPr>
        <w:t xml:space="preserve">09. </w:t>
      </w:r>
      <w:proofErr w:type="spellStart"/>
      <w:r w:rsidR="006F0672">
        <w:rPr>
          <w:rFonts w:ascii="Arial" w:hAnsi="Arial" w:cs="Arial"/>
          <w:noProof w:val="0"/>
          <w:color w:val="000000"/>
          <w:lang w:val="en-US" w:eastAsia="en-US"/>
        </w:rPr>
        <w:t>veljače</w:t>
      </w:r>
      <w:proofErr w:type="spellEnd"/>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6F0672">
        <w:rPr>
          <w:rFonts w:ascii="Arial" w:hAnsi="Arial" w:cs="Arial"/>
          <w:noProof w:val="0"/>
          <w:color w:val="000000"/>
          <w:lang w:val="en-US" w:eastAsia="en-US"/>
        </w:rPr>
        <w:t xml:space="preserve">10. </w:t>
      </w:r>
      <w:proofErr w:type="spellStart"/>
      <w:r w:rsidR="006F0672">
        <w:rPr>
          <w:rFonts w:ascii="Arial" w:hAnsi="Arial" w:cs="Arial"/>
          <w:noProof w:val="0"/>
          <w:color w:val="000000"/>
          <w:lang w:val="en-US" w:eastAsia="en-US"/>
        </w:rPr>
        <w:t>veljače</w:t>
      </w:r>
      <w:proofErr w:type="spellEnd"/>
      <w:r w:rsidR="000A4B1D">
        <w:rPr>
          <w:rFonts w:ascii="Arial" w:hAnsi="Arial" w:cs="Arial"/>
          <w:noProof w:val="0"/>
          <w:color w:val="000000"/>
          <w:lang w:val="en-US" w:eastAsia="en-US"/>
        </w:rPr>
        <w:t xml:space="preserve"> 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CD6C20" w:rsidRPr="00CD6C20">
        <w:rPr>
          <w:rFonts w:ascii="Arial" w:hAnsi="Arial" w:cs="Arial"/>
          <w:bCs/>
          <w:color w:val="000000"/>
          <w:sz w:val="22"/>
          <w:szCs w:val="22"/>
          <w:lang w:eastAsia="en-US"/>
        </w:rPr>
        <w:t>Izgradnja prometnica u Poduzetničkoj zoni Turbina 3 u Slatini – 1. faza</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sidR="00CD6C20" w:rsidRPr="00CD6C20">
        <w:rPr>
          <w:rFonts w:ascii="Arial" w:hAnsi="Arial" w:cs="Arial"/>
          <w:spacing w:val="-6"/>
          <w:sz w:val="22"/>
          <w:szCs w:val="22"/>
        </w:rPr>
        <w:t>REN: 23/2021</w:t>
      </w:r>
      <w:r w:rsidRPr="00A25E07">
        <w:rPr>
          <w:rFonts w:ascii="Arial" w:hAnsi="Arial" w:cs="Arial"/>
          <w:spacing w:val="-6"/>
          <w:sz w:val="22"/>
          <w:szCs w:val="22"/>
        </w:rPr>
        <w:t>, koji sadržava:</w:t>
      </w:r>
    </w:p>
    <w:p w:rsidR="00CD6C20" w:rsidRPr="00CD6C20" w:rsidRDefault="00CD6C20" w:rsidP="00CD6C20">
      <w:pPr>
        <w:pStyle w:val="Odlomakpopisa"/>
        <w:numPr>
          <w:ilvl w:val="0"/>
          <w:numId w:val="34"/>
        </w:numPr>
        <w:tabs>
          <w:tab w:val="left" w:pos="284"/>
        </w:tabs>
        <w:jc w:val="both"/>
        <w:rPr>
          <w:rFonts w:ascii="Arial" w:hAnsi="Arial" w:cs="Arial"/>
          <w:spacing w:val="-6"/>
          <w:sz w:val="22"/>
          <w:szCs w:val="22"/>
        </w:rPr>
      </w:pPr>
      <w:r w:rsidRPr="00CD6C20">
        <w:rPr>
          <w:rFonts w:ascii="Arial" w:hAnsi="Arial" w:cs="Arial"/>
          <w:spacing w:val="-6"/>
          <w:sz w:val="22"/>
          <w:szCs w:val="22"/>
        </w:rPr>
        <w:t>Mapa I Građevinski projekt prometnica, oznake 23-02-1-1/2021, studeni 2022.</w:t>
      </w:r>
    </w:p>
    <w:p w:rsidR="00CD6C20" w:rsidRPr="00CD6C20" w:rsidRDefault="00CD6C20" w:rsidP="00CD6C20">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Mapa II Građevinski projekt oborinske odvodnje oznake 23-02-2-1/2021, studeni 2022.</w:t>
      </w:r>
    </w:p>
    <w:p w:rsidR="00922B0A" w:rsidRPr="00CD6C20" w:rsidRDefault="00CD6C20" w:rsidP="00CD6C20">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Elaborat krajobraznog uređenja, oznake 1/22, studeni 2022.</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r>
      <w:r w:rsidR="008A5F71" w:rsidRPr="008A5F71">
        <w:rPr>
          <w:rFonts w:ascii="Arial" w:hAnsi="Arial" w:cs="Arial"/>
          <w:sz w:val="22"/>
          <w:szCs w:val="22"/>
        </w:rPr>
        <w:t>45232451-8 Radovi na odvodnjavanju i površinski radovi</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635A7E">
        <w:rPr>
          <w:rFonts w:ascii="Arial" w:hAnsi="Arial" w:cs="Arial"/>
          <w:color w:val="auto"/>
          <w:spacing w:val="-6"/>
          <w:sz w:val="22"/>
          <w:szCs w:val="22"/>
          <w:lang w:val="en-US"/>
        </w:rPr>
        <w:t>financiranju</w:t>
      </w:r>
      <w:r w:rsidR="00635A7E" w:rsidRPr="00635A7E">
        <w:t xml:space="preserve"> </w:t>
      </w:r>
      <w:r w:rsidR="00635A7E" w:rsidRPr="00635A7E">
        <w:rPr>
          <w:rFonts w:ascii="Arial" w:hAnsi="Arial" w:cs="Arial"/>
          <w:color w:val="auto"/>
          <w:spacing w:val="-6"/>
          <w:sz w:val="22"/>
          <w:szCs w:val="22"/>
          <w:lang w:val="en-US"/>
        </w:rPr>
        <w:t>pod referentnim brojem PRSBS046, Ugovor o financiranju broj: 09-F-I-0598/22-10</w:t>
      </w:r>
      <w:r w:rsidR="00635A7E">
        <w:rPr>
          <w:rFonts w:ascii="Arial" w:hAnsi="Arial" w:cs="Arial"/>
          <w:color w:val="auto"/>
          <w:spacing w:val="-6"/>
          <w:sz w:val="22"/>
          <w:szCs w:val="22"/>
          <w:lang w:val="en-US"/>
        </w:rPr>
        <w:t>,</w:t>
      </w:r>
      <w:r w:rsidRPr="00922B0A">
        <w:rPr>
          <w:rFonts w:ascii="Arial" w:hAnsi="Arial" w:cs="Arial"/>
          <w:color w:val="auto"/>
          <w:spacing w:val="-6"/>
          <w:sz w:val="22"/>
          <w:szCs w:val="22"/>
          <w:lang w:val="en-US"/>
        </w:rPr>
        <w:t xml:space="preserve"> za projekte koji se financiraju </w:t>
      </w:r>
      <w:r w:rsidR="00635A7E" w:rsidRPr="00635A7E">
        <w:rPr>
          <w:rFonts w:ascii="Arial" w:hAnsi="Arial" w:cs="Arial"/>
          <w:color w:val="auto"/>
          <w:spacing w:val="-6"/>
          <w:sz w:val="22"/>
          <w:szCs w:val="22"/>
          <w:lang w:val="en-US"/>
        </w:rPr>
        <w:t>prema Programu podrške gospodarskoj revitalizaciji Slavonije, Baranje i Srijema KLASA: 973-02/22-01/5, URBROJ: 538-09-1-2-2/276-22-1 od  24. siječnja 2022. godine</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802545" w:rsidRPr="00802545">
        <w:rPr>
          <w:rFonts w:ascii="Arial" w:hAnsi="Arial" w:cs="Arial"/>
          <w:sz w:val="22"/>
          <w:szCs w:val="22"/>
        </w:rPr>
        <w:t>1506/21, 1506/22, 1506/131, 1506/150, 1506/160, 1506/170, 1506/188, 1519/3 i 7407/2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7171AE" w:rsidRDefault="00922B0A" w:rsidP="00922B0A">
      <w:pPr>
        <w:jc w:val="both"/>
        <w:rPr>
          <w:rFonts w:ascii="Arial" w:hAnsi="Arial"/>
          <w:color w:val="auto"/>
          <w:sz w:val="22"/>
          <w:szCs w:val="22"/>
          <w:lang w:eastAsia="en-US"/>
        </w:rPr>
      </w:pPr>
      <w:r w:rsidRPr="007171AE">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lastRenderedPageBreak/>
        <w:t>Predviđeni rok izvođenja radova predmeta nabave je 1</w:t>
      </w:r>
      <w:r w:rsidR="00CF0837" w:rsidRPr="00CF0837">
        <w:rPr>
          <w:rFonts w:ascii="Arial" w:hAnsi="Arial"/>
          <w:color w:val="auto"/>
          <w:sz w:val="22"/>
          <w:szCs w:val="22"/>
          <w:lang w:eastAsia="en-US"/>
        </w:rPr>
        <w:t>2</w:t>
      </w:r>
      <w:r w:rsidRPr="00CF0837">
        <w:rPr>
          <w:rFonts w:ascii="Arial" w:hAnsi="Arial"/>
          <w:color w:val="auto"/>
          <w:sz w:val="22"/>
          <w:szCs w:val="22"/>
          <w:lang w:eastAsia="en-US"/>
        </w:rPr>
        <w:t xml:space="preserve"> mjeseci od dana uvođenja izvođača u posao.</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 xml:space="preserve">Način obavljanja tehničkog pregleda propisan je Pravilnikom o tehničkom pregledu građevine            </w:t>
      </w:r>
      <w:r w:rsidR="00EF324D" w:rsidRPr="00CF0837">
        <w:rPr>
          <w:rFonts w:ascii="Arial" w:hAnsi="Arial"/>
          <w:color w:val="auto"/>
          <w:sz w:val="22"/>
          <w:szCs w:val="22"/>
          <w:lang w:eastAsia="en-US"/>
        </w:rPr>
        <w:t>(Narodne novine br. 48/18. i 98/19.)</w:t>
      </w:r>
      <w:r w:rsidRPr="00CF0837">
        <w:rPr>
          <w:rFonts w:ascii="Arial" w:hAnsi="Arial"/>
          <w:color w:val="auto"/>
          <w:sz w:val="22"/>
          <w:szCs w:val="22"/>
          <w:lang w:eastAsia="en-US"/>
        </w:rPr>
        <w:t>.</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primopredaje građevine naručitelju je 15 dana od dana pravomoćnosti uporabne dozvole za građevinu.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kra</w:t>
      </w:r>
      <w:r w:rsidR="00CF0837" w:rsidRPr="00CF0837">
        <w:rPr>
          <w:rFonts w:ascii="Arial" w:hAnsi="Arial"/>
          <w:color w:val="auto"/>
          <w:sz w:val="22"/>
          <w:szCs w:val="22"/>
          <w:lang w:eastAsia="en-US"/>
        </w:rPr>
        <w:t>jnji rok izvršenja ugovora je 14</w:t>
      </w:r>
      <w:r w:rsidRPr="00CF0837">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lastRenderedPageBreak/>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w:t>
      </w:r>
      <w:r w:rsidRPr="00922B0A">
        <w:rPr>
          <w:rFonts w:ascii="Arial" w:eastAsia="SimSun" w:hAnsi="Arial" w:cs="Arial"/>
          <w:sz w:val="22"/>
          <w:szCs w:val="22"/>
        </w:rPr>
        <w:lastRenderedPageBreak/>
        <w:t>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Default="00922B0A" w:rsidP="00922B0A">
      <w:pPr>
        <w:jc w:val="both"/>
        <w:rPr>
          <w:rFonts w:ascii="Arial" w:hAnsi="Arial" w:cs="Arial"/>
          <w:sz w:val="22"/>
          <w:szCs w:val="22"/>
          <w:lang w:eastAsia="en-US"/>
        </w:rPr>
      </w:pPr>
    </w:p>
    <w:p w:rsidR="002558DD" w:rsidRDefault="002558DD" w:rsidP="00922B0A">
      <w:pPr>
        <w:jc w:val="both"/>
        <w:rPr>
          <w:rFonts w:ascii="Arial" w:hAnsi="Arial" w:cs="Arial"/>
          <w:sz w:val="22"/>
          <w:szCs w:val="22"/>
          <w:lang w:eastAsia="en-US"/>
        </w:rPr>
      </w:pPr>
    </w:p>
    <w:p w:rsidR="002558DD" w:rsidRPr="00922B0A" w:rsidRDefault="002558DD"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2558DD">
        <w:rPr>
          <w:rFonts w:ascii="Arial" w:hAnsi="Arial"/>
          <w:b/>
          <w:color w:val="auto"/>
          <w:sz w:val="22"/>
          <w:szCs w:val="22"/>
          <w:lang w:eastAsia="en-US"/>
        </w:rPr>
        <w:t>tri</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8D597A">
        <w:rPr>
          <w:rFonts w:ascii="Arial" w:hAnsi="Arial"/>
          <w:b/>
          <w:color w:val="auto"/>
          <w:sz w:val="22"/>
          <w:szCs w:val="22"/>
          <w:lang w:eastAsia="en-US"/>
        </w:rPr>
        <w:t>tri</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vrijednosti predmetne nabave, 1</w:t>
      </w:r>
      <w:r w:rsidRPr="00922B0A">
        <w:rPr>
          <w:rFonts w:ascii="Arial" w:hAnsi="Arial"/>
          <w:b/>
          <w:color w:val="auto"/>
          <w:sz w:val="22"/>
          <w:szCs w:val="22"/>
          <w:lang w:eastAsia="en-US"/>
        </w:rPr>
        <w:t>.</w:t>
      </w:r>
      <w:r w:rsidR="002558DD">
        <w:rPr>
          <w:rFonts w:ascii="Arial" w:hAnsi="Arial"/>
          <w:b/>
          <w:color w:val="auto"/>
          <w:sz w:val="22"/>
          <w:szCs w:val="22"/>
          <w:lang w:eastAsia="en-US"/>
        </w:rPr>
        <w:t>041</w:t>
      </w:r>
      <w:r w:rsidRPr="00922B0A">
        <w:rPr>
          <w:rFonts w:ascii="Arial" w:hAnsi="Arial"/>
          <w:b/>
          <w:color w:val="auto"/>
          <w:sz w:val="22"/>
          <w:szCs w:val="22"/>
          <w:lang w:eastAsia="en-US"/>
        </w:rPr>
        <w:t>.</w:t>
      </w:r>
      <w:r w:rsidR="002558DD">
        <w:rPr>
          <w:rFonts w:ascii="Arial" w:hAnsi="Arial"/>
          <w:b/>
          <w:color w:val="auto"/>
          <w:sz w:val="22"/>
          <w:szCs w:val="22"/>
          <w:lang w:eastAsia="en-US"/>
        </w:rPr>
        <w:t>874</w:t>
      </w:r>
      <w:r w:rsidR="008D1EAE">
        <w:rPr>
          <w:rFonts w:ascii="Arial" w:hAnsi="Arial"/>
          <w:b/>
          <w:color w:val="auto"/>
          <w:sz w:val="22"/>
          <w:szCs w:val="22"/>
          <w:lang w:eastAsia="en-US"/>
        </w:rPr>
        <w:t>,</w:t>
      </w:r>
      <w:r w:rsidR="002558DD">
        <w:rPr>
          <w:rFonts w:ascii="Arial" w:hAnsi="Arial"/>
          <w:b/>
          <w:color w:val="auto"/>
          <w:sz w:val="22"/>
          <w:szCs w:val="22"/>
          <w:lang w:eastAsia="en-US"/>
        </w:rPr>
        <w:t>05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2558DD">
        <w:rPr>
          <w:rFonts w:ascii="Arial" w:eastAsia="SimSun" w:hAnsi="Arial"/>
          <w:color w:val="auto"/>
          <w:sz w:val="22"/>
          <w:szCs w:val="22"/>
        </w:rPr>
        <w:t>tri</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922B0A" w:rsidRDefault="00922B0A" w:rsidP="00922B0A">
      <w:pPr>
        <w:jc w:val="both"/>
        <w:rPr>
          <w:rFonts w:ascii="Arial" w:hAnsi="Arial"/>
          <w:color w:val="auto"/>
          <w:sz w:val="22"/>
          <w:szCs w:val="22"/>
          <w:lang w:eastAsia="en-US"/>
        </w:rPr>
      </w:pPr>
    </w:p>
    <w:p w:rsidR="00A5545B" w:rsidRDefault="00A5545B" w:rsidP="00922B0A">
      <w:pPr>
        <w:jc w:val="both"/>
        <w:rPr>
          <w:rFonts w:ascii="Arial" w:hAnsi="Arial"/>
          <w:color w:val="auto"/>
          <w:sz w:val="22"/>
          <w:szCs w:val="22"/>
          <w:lang w:eastAsia="en-US"/>
        </w:rPr>
      </w:pPr>
    </w:p>
    <w:p w:rsidR="00A5545B" w:rsidRDefault="00A5545B" w:rsidP="00922B0A">
      <w:pPr>
        <w:jc w:val="both"/>
        <w:rPr>
          <w:rFonts w:ascii="Arial" w:hAnsi="Arial"/>
          <w:color w:val="auto"/>
          <w:sz w:val="22"/>
          <w:szCs w:val="22"/>
          <w:lang w:eastAsia="en-US"/>
        </w:rPr>
      </w:pPr>
    </w:p>
    <w:p w:rsidR="00A5545B" w:rsidRDefault="00A5545B" w:rsidP="00922B0A">
      <w:pPr>
        <w:jc w:val="both"/>
        <w:rPr>
          <w:rFonts w:ascii="Arial" w:hAnsi="Arial"/>
          <w:color w:val="auto"/>
          <w:sz w:val="22"/>
          <w:szCs w:val="22"/>
          <w:lang w:eastAsia="en-US"/>
        </w:rPr>
      </w:pPr>
    </w:p>
    <w:p w:rsidR="00A5545B" w:rsidRPr="00922B0A" w:rsidRDefault="00A5545B"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lastRenderedPageBreak/>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Pr="00225A67"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2. voditelj radova građevinske struke</w:t>
      </w:r>
    </w:p>
    <w:p w:rsidR="00B37591" w:rsidRPr="00225A67" w:rsidRDefault="009936E1"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3</w:t>
      </w:r>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ovlašteni</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inženjer</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9936E1" w:rsidP="00922B0A">
      <w:pPr>
        <w:jc w:val="both"/>
        <w:rPr>
          <w:rFonts w:ascii="Arial" w:hAnsi="Arial"/>
          <w:color w:val="auto"/>
          <w:sz w:val="22"/>
          <w:szCs w:val="22"/>
          <w:lang w:eastAsia="en-US"/>
        </w:rPr>
      </w:pPr>
      <w:r>
        <w:rPr>
          <w:rFonts w:ascii="Arial" w:hAnsi="Arial"/>
          <w:color w:val="auto"/>
          <w:sz w:val="22"/>
          <w:szCs w:val="22"/>
          <w:lang w:eastAsia="en-US"/>
        </w:rPr>
        <w:t>3</w:t>
      </w:r>
      <w:r w:rsidR="00B37591" w:rsidRPr="00B37591">
        <w:rPr>
          <w:rFonts w:ascii="Arial" w:hAnsi="Arial"/>
          <w:color w:val="auto"/>
          <w:sz w:val="22"/>
          <w:szCs w:val="22"/>
          <w:lang w:eastAsia="en-US"/>
        </w:rPr>
        <w:t xml:space="preserve">. za </w:t>
      </w:r>
      <w:r w:rsidR="00B37591">
        <w:rPr>
          <w:rFonts w:ascii="Arial" w:hAnsi="Arial"/>
          <w:color w:val="auto"/>
          <w:sz w:val="22"/>
          <w:szCs w:val="22"/>
          <w:lang w:eastAsia="en-US"/>
        </w:rPr>
        <w:t>ovlaštenog inženjera geodezije</w:t>
      </w:r>
      <w:r w:rsidR="00B37591" w:rsidRPr="00B37591">
        <w:rPr>
          <w:rFonts w:ascii="Arial" w:hAnsi="Arial"/>
          <w:color w:val="auto"/>
          <w:sz w:val="22"/>
          <w:szCs w:val="22"/>
          <w:lang w:eastAsia="en-US"/>
        </w:rPr>
        <w:t xml:space="preserve">: najmanje jedna osoba </w:t>
      </w:r>
      <w:r w:rsidR="00B37591">
        <w:rPr>
          <w:rFonts w:ascii="Arial" w:hAnsi="Arial"/>
          <w:color w:val="auto"/>
          <w:sz w:val="22"/>
          <w:szCs w:val="22"/>
          <w:lang w:eastAsia="en-US"/>
        </w:rPr>
        <w:t>geodetske</w:t>
      </w:r>
      <w:r w:rsidR="00B37591"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9936E1" w:rsidP="007A741F">
      <w:pPr>
        <w:pStyle w:val="Odlomakpopisa"/>
        <w:numPr>
          <w:ilvl w:val="0"/>
          <w:numId w:val="33"/>
        </w:numPr>
        <w:jc w:val="both"/>
        <w:rPr>
          <w:rFonts w:ascii="Arial" w:hAnsi="Arial"/>
          <w:color w:val="auto"/>
          <w:sz w:val="22"/>
          <w:szCs w:val="22"/>
        </w:rPr>
      </w:pPr>
      <w:r>
        <w:rPr>
          <w:rFonts w:ascii="Arial" w:hAnsi="Arial"/>
          <w:color w:val="auto"/>
          <w:sz w:val="22"/>
          <w:szCs w:val="22"/>
        </w:rPr>
        <w:t>(za stručnjake pod 1. i 2.</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sidR="009936E1">
        <w:rPr>
          <w:rFonts w:ascii="Arial" w:hAnsi="Arial"/>
          <w:color w:val="auto"/>
          <w:sz w:val="22"/>
          <w:szCs w:val="22"/>
        </w:rPr>
        <w:t>a pod 3</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 xml:space="preserve">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w:t>
      </w:r>
      <w:r w:rsidRPr="00200F57">
        <w:rPr>
          <w:rFonts w:ascii="Arial" w:hAnsi="Arial" w:cs="Arial"/>
          <w:sz w:val="22"/>
          <w:szCs w:val="22"/>
        </w:rPr>
        <w:lastRenderedPageBreak/>
        <w:t>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1766D" w:rsidP="00922B0A">
      <w:pPr>
        <w:ind w:firstLine="708"/>
        <w:jc w:val="both"/>
      </w:pPr>
      <w:r>
        <w:rPr>
          <w:rFonts w:ascii="Arial" w:hAnsi="Arial" w:cs="Arial"/>
          <w:b/>
          <w:sz w:val="22"/>
          <w:szCs w:val="22"/>
        </w:rPr>
        <w:t xml:space="preserve">  Ev.broj: 44/23</w:t>
      </w:r>
      <w:r w:rsidR="00922B0A" w:rsidRPr="00922B0A">
        <w:rPr>
          <w:rFonts w:ascii="Arial" w:hAnsi="Arial" w:cs="Arial"/>
          <w:b/>
          <w:sz w:val="22"/>
          <w:szCs w:val="22"/>
        </w:rPr>
        <w:t>.</w:t>
      </w:r>
    </w:p>
    <w:p w:rsidR="00D1766D" w:rsidRDefault="00922B0A" w:rsidP="00D1766D">
      <w:pPr>
        <w:ind w:firstLine="708"/>
        <w:jc w:val="both"/>
        <w:rPr>
          <w:rFonts w:ascii="Arial" w:hAnsi="Arial" w:cs="Arial"/>
          <w:b/>
          <w:sz w:val="22"/>
          <w:szCs w:val="22"/>
        </w:rPr>
      </w:pPr>
      <w:r w:rsidRPr="00922B0A">
        <w:rPr>
          <w:rFonts w:ascii="Arial" w:hAnsi="Arial" w:cs="Arial"/>
          <w:b/>
          <w:sz w:val="22"/>
          <w:szCs w:val="22"/>
        </w:rPr>
        <w:t xml:space="preserve">  Predmet nabave: „</w:t>
      </w:r>
      <w:r w:rsidR="00D1766D" w:rsidRPr="00D1766D">
        <w:rPr>
          <w:rFonts w:ascii="Arial" w:hAnsi="Arial" w:cs="Arial"/>
          <w:b/>
          <w:sz w:val="22"/>
          <w:szCs w:val="22"/>
        </w:rPr>
        <w:t xml:space="preserve">Izgradnja prometnica  u Poduzetničkoj zoni „Turbina 3“ u Slatini </w:t>
      </w:r>
    </w:p>
    <w:p w:rsidR="00922B0A" w:rsidRPr="00922B0A" w:rsidRDefault="00D1766D" w:rsidP="00D1766D">
      <w:pPr>
        <w:ind w:firstLine="708"/>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D1766D">
        <w:rPr>
          <w:rFonts w:ascii="Arial" w:hAnsi="Arial" w:cs="Arial"/>
          <w:b/>
          <w:sz w:val="22"/>
          <w:szCs w:val="22"/>
        </w:rPr>
        <w:t>– 1. faza</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922B0A" w:rsidRDefault="00922B0A" w:rsidP="00922B0A">
      <w:pPr>
        <w:jc w:val="both"/>
        <w:rPr>
          <w:rFonts w:cs="Arial"/>
          <w:b/>
          <w:bCs/>
        </w:rPr>
      </w:pPr>
    </w:p>
    <w:p w:rsidR="00A5545B" w:rsidRDefault="00A5545B" w:rsidP="00922B0A">
      <w:pPr>
        <w:jc w:val="both"/>
        <w:rPr>
          <w:rFonts w:cs="Arial"/>
          <w:b/>
          <w:bCs/>
        </w:rPr>
      </w:pPr>
    </w:p>
    <w:p w:rsidR="00A5545B" w:rsidRPr="00922B0A" w:rsidRDefault="00A5545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lastRenderedPageBreak/>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Default="00922B0A" w:rsidP="00922B0A">
      <w:pPr>
        <w:rPr>
          <w:rFonts w:ascii="Arial" w:eastAsia="Calibri" w:hAnsi="Arial" w:cs="Arial"/>
          <w:sz w:val="22"/>
          <w:szCs w:val="22"/>
          <w:lang w:eastAsia="en-US"/>
        </w:rPr>
      </w:pP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Default="00922B0A" w:rsidP="00922B0A">
      <w:pPr>
        <w:jc w:val="both"/>
        <w:rPr>
          <w:rFonts w:ascii="Arial" w:eastAsia="Calibri" w:hAnsi="Arial" w:cs="Arial"/>
          <w:sz w:val="22"/>
          <w:szCs w:val="22"/>
          <w:lang w:eastAsia="en-US"/>
        </w:rPr>
      </w:pPr>
    </w:p>
    <w:p w:rsidR="00A5545B" w:rsidRDefault="00A5545B" w:rsidP="00922B0A">
      <w:pPr>
        <w:jc w:val="both"/>
        <w:rPr>
          <w:rFonts w:ascii="Arial" w:eastAsia="Calibri" w:hAnsi="Arial" w:cs="Arial"/>
          <w:sz w:val="22"/>
          <w:szCs w:val="22"/>
          <w:lang w:eastAsia="en-US"/>
        </w:rPr>
      </w:pPr>
    </w:p>
    <w:p w:rsidR="00A5545B" w:rsidRDefault="00A5545B" w:rsidP="00922B0A">
      <w:pPr>
        <w:jc w:val="both"/>
        <w:rPr>
          <w:rFonts w:ascii="Arial" w:eastAsia="Calibri" w:hAnsi="Arial" w:cs="Arial"/>
          <w:sz w:val="22"/>
          <w:szCs w:val="22"/>
          <w:lang w:eastAsia="en-US"/>
        </w:rPr>
      </w:pPr>
    </w:p>
    <w:p w:rsidR="00A5545B" w:rsidRDefault="00A5545B" w:rsidP="00922B0A">
      <w:pPr>
        <w:jc w:val="both"/>
        <w:rPr>
          <w:rFonts w:ascii="Arial" w:eastAsia="Calibri" w:hAnsi="Arial" w:cs="Arial"/>
          <w:sz w:val="22"/>
          <w:szCs w:val="22"/>
          <w:lang w:eastAsia="en-US"/>
        </w:rPr>
      </w:pPr>
    </w:p>
    <w:p w:rsidR="00A5545B" w:rsidRPr="00922B0A" w:rsidRDefault="00A5545B"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lastRenderedPageBreak/>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Default="00922B0A" w:rsidP="00922B0A">
      <w:pPr>
        <w:jc w:val="both"/>
        <w:rPr>
          <w:rFonts w:ascii="Arial" w:eastAsia="Calibri" w:hAnsi="Arial" w:cs="Arial"/>
          <w:sz w:val="22"/>
          <w:szCs w:val="22"/>
          <w:lang w:eastAsia="en-US"/>
        </w:rPr>
      </w:pP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DF6822" w:rsidRPr="00BF1FB1">
        <w:rPr>
          <w:rStyle w:val="Hiperveza"/>
          <w:rFonts w:ascii="Arial" w:hAnsi="Arial" w:cs="Arial"/>
          <w:color w:val="0070C0"/>
          <w:sz w:val="22"/>
          <w:szCs w:val="22"/>
          <w:lang w:eastAsia="en-US"/>
        </w:rPr>
        <w:t>https://www.slatina.hr/portal/izgradnja-prometnica-u-poduzetnickoj-zoni-turbina-3-u-slatini-1-faza/</w:t>
      </w:r>
      <w:r w:rsidRPr="00BF1FB1">
        <w:rPr>
          <w:rFonts w:ascii="Arial" w:hAnsi="Arial" w:cs="Arial"/>
          <w:color w:val="0070C0"/>
          <w:sz w:val="22"/>
          <w:szCs w:val="22"/>
          <w:lang w:eastAsia="en-US"/>
        </w:rPr>
        <w:t>.</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916BD1" w:rsidRPr="00916BD1">
        <w:rPr>
          <w:rFonts w:ascii="Arial" w:hAnsi="Arial" w:cs="Arial"/>
          <w:sz w:val="22"/>
          <w:szCs w:val="22"/>
          <w:lang w:eastAsia="en-US"/>
        </w:rPr>
        <w:t>1506/21, 1506/22, 1506/131, 1506/150, 1506/160, 1506/170, 1506/188, 1519/3 i 7407/2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lastRenderedPageBreak/>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916BD1">
        <w:rPr>
          <w:rFonts w:ascii="Arial" w:eastAsia="Calibri" w:hAnsi="Arial" w:cs="Arial"/>
          <w:color w:val="000000"/>
          <w:sz w:val="22"/>
          <w:szCs w:val="22"/>
        </w:rPr>
        <w:t>ačen Grad Slatina na iznos od 30</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g pologa u traženom iznosu od 3</w:t>
      </w:r>
      <w:r w:rsidRPr="00922B0A">
        <w:rPr>
          <w:rFonts w:ascii="Arial" w:eastAsia="Calibri" w:hAnsi="Arial" w:cs="Arial"/>
          <w:color w:val="000000"/>
          <w:sz w:val="22"/>
          <w:szCs w:val="22"/>
        </w:rPr>
        <w:t xml:space="preserve">0.000,00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916BD1">
        <w:rPr>
          <w:rFonts w:ascii="Arial" w:eastAsia="Calibri" w:hAnsi="Arial" w:cs="Arial"/>
          <w:color w:val="000000"/>
          <w:sz w:val="22"/>
          <w:szCs w:val="22"/>
        </w:rPr>
        <w:t>ozbiljnost ponude – EV, BROJ: 44/23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3</w:t>
      </w:r>
      <w:r w:rsidRPr="00922B0A">
        <w:rPr>
          <w:rFonts w:ascii="Arial" w:eastAsia="Calibri" w:hAnsi="Arial" w:cs="Arial"/>
          <w:color w:val="000000"/>
          <w:sz w:val="22"/>
          <w:szCs w:val="22"/>
        </w:rPr>
        <w:t xml:space="preserve">0.000,00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4E52EC">
        <w:rPr>
          <w:rFonts w:ascii="Arial" w:eastAsia="Calibri" w:hAnsi="Arial" w:cs="Arial"/>
          <w:color w:val="000000"/>
          <w:sz w:val="22"/>
          <w:szCs w:val="22"/>
          <w:lang w:eastAsia="en-US"/>
        </w:rPr>
        <w:t>spunjenje ugovora – EV, BROJ: 44</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lastRenderedPageBreak/>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„Jamstvo za otklanjanje nedostataka </w:t>
      </w:r>
      <w:r w:rsidR="004E52EC">
        <w:rPr>
          <w:rFonts w:ascii="Arial" w:eastAsia="Calibri" w:hAnsi="Arial" w:cs="Arial"/>
          <w:noProof w:val="0"/>
          <w:color w:val="000000"/>
          <w:sz w:val="22"/>
          <w:szCs w:val="22"/>
          <w:lang w:eastAsia="en-US"/>
        </w:rPr>
        <w:t>u jamstvenom roku – EV, BROJ: 44/23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32148C" w:rsidRPr="0032148C">
        <w:rPr>
          <w:rFonts w:ascii="Arial" w:eastAsia="Calibri" w:hAnsi="Arial" w:cs="Arial"/>
          <w:color w:val="auto"/>
          <w:sz w:val="22"/>
          <w:szCs w:val="22"/>
        </w:rPr>
        <w:t>07</w:t>
      </w:r>
      <w:r w:rsidR="000B298C" w:rsidRPr="0032148C">
        <w:rPr>
          <w:rFonts w:ascii="Arial" w:eastAsia="Calibri" w:hAnsi="Arial" w:cs="Arial"/>
          <w:color w:val="auto"/>
          <w:sz w:val="22"/>
          <w:szCs w:val="22"/>
        </w:rPr>
        <w:t xml:space="preserve">. </w:t>
      </w:r>
      <w:r w:rsidR="0032148C" w:rsidRPr="0032148C">
        <w:rPr>
          <w:rFonts w:ascii="Arial" w:eastAsia="Calibri" w:hAnsi="Arial" w:cs="Arial"/>
          <w:color w:val="auto"/>
          <w:sz w:val="22"/>
          <w:szCs w:val="22"/>
        </w:rPr>
        <w:t>ožujka</w:t>
      </w:r>
      <w:r w:rsidR="005956A9"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32148C" w:rsidRPr="0032148C">
        <w:rPr>
          <w:rFonts w:ascii="Arial" w:eastAsia="Calibri" w:hAnsi="Arial" w:cs="Arial"/>
          <w:color w:val="auto"/>
          <w:sz w:val="22"/>
          <w:szCs w:val="22"/>
        </w:rPr>
        <w:t xml:space="preserve">07. ožujka </w:t>
      </w:r>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 xml:space="preserve">na adresi: Grad Slatina, </w:t>
      </w:r>
      <w:bookmarkStart w:id="0" w:name="_GoBack"/>
      <w:r w:rsidRPr="00922B0A">
        <w:rPr>
          <w:rFonts w:ascii="Arial" w:eastAsia="Calibri" w:hAnsi="Arial" w:cs="Arial"/>
          <w:color w:val="000000"/>
          <w:sz w:val="22"/>
          <w:szCs w:val="22"/>
        </w:rPr>
        <w:t>Trg sv. Josipa 10, 33520 Slatina</w:t>
      </w:r>
      <w:bookmarkEnd w:id="0"/>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A5545B" w:rsidRDefault="00A5545B" w:rsidP="00922B0A">
      <w:pPr>
        <w:spacing w:line="240" w:lineRule="atLeast"/>
        <w:jc w:val="both"/>
        <w:rPr>
          <w:rFonts w:ascii="Arial" w:eastAsia="Calibri" w:hAnsi="Arial" w:cs="Arial"/>
          <w:color w:val="auto"/>
          <w:sz w:val="22"/>
          <w:szCs w:val="22"/>
        </w:rPr>
      </w:pPr>
    </w:p>
    <w:p w:rsidR="00A5545B" w:rsidRPr="0069195C" w:rsidRDefault="00A5545B" w:rsidP="00922B0A">
      <w:pPr>
        <w:spacing w:line="240" w:lineRule="atLeast"/>
        <w:jc w:val="both"/>
        <w:rPr>
          <w:rFonts w:ascii="Arial" w:eastAsia="Calibri" w:hAnsi="Arial" w:cs="Arial"/>
          <w:color w:val="auto"/>
          <w:sz w:val="22"/>
          <w:szCs w:val="22"/>
        </w:rPr>
      </w:pP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lastRenderedPageBreak/>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w:t>
      </w:r>
      <w:r w:rsidRPr="00922B0A">
        <w:rPr>
          <w:rFonts w:ascii="Arial" w:eastAsia="Calibri" w:hAnsi="Arial" w:cs="Arial"/>
          <w:color w:val="000000"/>
          <w:sz w:val="22"/>
          <w:szCs w:val="22"/>
        </w:rPr>
        <w:lastRenderedPageBreak/>
        <w:t>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1391E" w:rsidP="00922B0A">
      <w:pPr>
        <w:spacing w:line="240" w:lineRule="atLeast"/>
        <w:jc w:val="both"/>
        <w:rPr>
          <w:rFonts w:ascii="Arial" w:eastAsia="Calibri" w:hAnsi="Arial" w:cs="Arial"/>
          <w:color w:val="auto"/>
          <w:sz w:val="22"/>
          <w:szCs w:val="22"/>
          <w:lang w:eastAsia="en-US"/>
        </w:rPr>
      </w:pPr>
      <w:r w:rsidRPr="0001391E">
        <w:rPr>
          <w:rFonts w:ascii="Arial" w:eastAsia="Calibri" w:hAnsi="Arial" w:cs="Arial"/>
          <w:color w:val="auto"/>
          <w:sz w:val="22"/>
          <w:szCs w:val="22"/>
          <w:lang w:eastAsia="en-US"/>
        </w:rPr>
        <w:t>Predmet nabave financiran je prema Programu podrške gospodarskoj revitalizaciji Slavonije, Baranje i Srijema KLASA: 973-02/22-01/5, URBROJ: 538-09-1-2-2/276-22-1 od  24. siječnja 2022. godine, pod referentnim brojem PRSBS046, Ugovor o financiranju broj: 09-F-I-0598/22-10.</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8111F0">
        <w:rPr>
          <w:rFonts w:ascii="Arial" w:hAnsi="Arial" w:cs="Arial"/>
          <w:bCs/>
          <w:sz w:val="22"/>
          <w:szCs w:val="22"/>
        </w:rPr>
        <w:t>o odabiru, KLASA: 406-04/22-01</w:t>
      </w:r>
      <w:r w:rsidR="000A599F">
        <w:rPr>
          <w:rFonts w:ascii="Arial" w:hAnsi="Arial" w:cs="Arial"/>
          <w:bCs/>
          <w:sz w:val="22"/>
          <w:szCs w:val="22"/>
        </w:rPr>
        <w:t>/</w:t>
      </w:r>
      <w:r w:rsidR="008111F0">
        <w:rPr>
          <w:rFonts w:ascii="Arial" w:hAnsi="Arial" w:cs="Arial"/>
          <w:bCs/>
          <w:sz w:val="22"/>
          <w:szCs w:val="22"/>
        </w:rPr>
        <w:t>1</w:t>
      </w:r>
      <w:r w:rsidR="000A599F">
        <w:rPr>
          <w:rFonts w:ascii="Arial" w:hAnsi="Arial" w:cs="Arial"/>
          <w:bCs/>
          <w:sz w:val="22"/>
          <w:szCs w:val="22"/>
        </w:rPr>
        <w:t xml:space="preserve">4,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CE5B91" w:rsidRPr="00CE5B91">
        <w:rPr>
          <w:rFonts w:ascii="Arial" w:hAnsi="Arial" w:cs="Arial"/>
          <w:bCs/>
          <w:sz w:val="22"/>
          <w:szCs w:val="22"/>
        </w:rPr>
        <w:t>Izgradnja prometnica u Poduzetničkoj zoni Turbina 3 u Slatini – 1. faza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C5674">
        <w:rPr>
          <w:rFonts w:ascii="Arial" w:hAnsi="Arial" w:cs="Arial"/>
          <w:b/>
          <w:bCs/>
          <w:sz w:val="22"/>
          <w:szCs w:val="22"/>
        </w:rPr>
        <w:t>ev. br. 44/23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0470BA" w:rsidRDefault="00922B0A" w:rsidP="00922B0A">
      <w:pPr>
        <w:spacing w:line="240" w:lineRule="atLeast"/>
        <w:jc w:val="both"/>
        <w:rPr>
          <w:rFonts w:ascii="Arial" w:hAnsi="Arial" w:cs="Arial"/>
          <w:bCs/>
          <w:color w:val="auto"/>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0470BA">
        <w:rPr>
          <w:rFonts w:ascii="Arial" w:hAnsi="Arial" w:cs="Arial"/>
          <w:bCs/>
          <w:color w:val="auto"/>
          <w:sz w:val="22"/>
          <w:szCs w:val="22"/>
        </w:rPr>
        <w:t xml:space="preserve">KLASA: </w:t>
      </w:r>
      <w:r w:rsidR="0022305B" w:rsidRPr="000470BA">
        <w:rPr>
          <w:rFonts w:ascii="Arial" w:hAnsi="Arial" w:cs="Arial"/>
          <w:bCs/>
          <w:color w:val="auto"/>
          <w:sz w:val="22"/>
          <w:szCs w:val="22"/>
        </w:rPr>
        <w:t>UP/I-361-03/22-01/000052</w:t>
      </w:r>
      <w:r w:rsidR="00915351" w:rsidRPr="000470BA">
        <w:rPr>
          <w:rFonts w:ascii="Arial" w:hAnsi="Arial" w:cs="Arial"/>
          <w:bCs/>
          <w:color w:val="auto"/>
          <w:sz w:val="22"/>
          <w:szCs w:val="22"/>
        </w:rPr>
        <w:t>, URBROJ</w:t>
      </w:r>
      <w:r w:rsidR="0022305B" w:rsidRPr="000470BA">
        <w:rPr>
          <w:rFonts w:ascii="Arial" w:hAnsi="Arial" w:cs="Arial"/>
          <w:bCs/>
          <w:color w:val="auto"/>
          <w:sz w:val="22"/>
          <w:szCs w:val="22"/>
        </w:rPr>
        <w:t>:</w:t>
      </w:r>
      <w:r w:rsidR="00915351" w:rsidRPr="000470BA">
        <w:rPr>
          <w:rFonts w:ascii="Arial" w:hAnsi="Arial" w:cs="Arial"/>
          <w:bCs/>
          <w:color w:val="auto"/>
          <w:sz w:val="22"/>
          <w:szCs w:val="22"/>
        </w:rPr>
        <w:t xml:space="preserve"> </w:t>
      </w:r>
      <w:r w:rsidR="0022305B" w:rsidRPr="000470BA">
        <w:rPr>
          <w:rFonts w:ascii="Arial" w:hAnsi="Arial" w:cs="Arial"/>
          <w:bCs/>
          <w:color w:val="auto"/>
          <w:sz w:val="22"/>
          <w:szCs w:val="22"/>
        </w:rPr>
        <w:t>2189-08/09-23-0022 od 27</w:t>
      </w:r>
      <w:r w:rsidR="00915351" w:rsidRPr="000470BA">
        <w:rPr>
          <w:rFonts w:ascii="Arial" w:hAnsi="Arial" w:cs="Arial"/>
          <w:bCs/>
          <w:color w:val="auto"/>
          <w:sz w:val="22"/>
          <w:szCs w:val="22"/>
        </w:rPr>
        <w:t xml:space="preserve">. </w:t>
      </w:r>
      <w:r w:rsidR="0022305B" w:rsidRPr="000470BA">
        <w:rPr>
          <w:rFonts w:ascii="Arial" w:hAnsi="Arial" w:cs="Arial"/>
          <w:bCs/>
          <w:color w:val="auto"/>
          <w:sz w:val="22"/>
          <w:szCs w:val="22"/>
        </w:rPr>
        <w:t>siječnja 2023</w:t>
      </w:r>
      <w:r w:rsidR="00915351" w:rsidRPr="000470BA">
        <w:rPr>
          <w:rFonts w:ascii="Arial" w:hAnsi="Arial" w:cs="Arial"/>
          <w:bCs/>
          <w:color w:val="auto"/>
          <w:sz w:val="22"/>
          <w:szCs w:val="22"/>
        </w:rPr>
        <w:t>.</w:t>
      </w:r>
      <w:r w:rsidRPr="000470BA">
        <w:rPr>
          <w:rFonts w:ascii="Arial" w:hAnsi="Arial" w:cs="Arial"/>
          <w:bCs/>
          <w:color w:val="auto"/>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CE5B91" w:rsidRPr="00CE5B91" w:rsidRDefault="00CE5B91" w:rsidP="00CE5B91">
      <w:pPr>
        <w:spacing w:line="240" w:lineRule="atLeast"/>
        <w:jc w:val="both"/>
        <w:rPr>
          <w:rFonts w:ascii="Arial" w:hAnsi="Arial" w:cs="Arial"/>
          <w:bCs/>
          <w:sz w:val="22"/>
          <w:szCs w:val="22"/>
        </w:rPr>
      </w:pPr>
      <w:r w:rsidRPr="00CE5B91">
        <w:rPr>
          <w:rFonts w:ascii="Arial" w:hAnsi="Arial" w:cs="Arial"/>
          <w:bCs/>
          <w:sz w:val="22"/>
          <w:szCs w:val="22"/>
        </w:rPr>
        <w:t>Glavni projekt zajedničke oznake REN: 23/2021, koji sadržava:</w:t>
      </w:r>
    </w:p>
    <w:p w:rsidR="00CE5B91" w:rsidRPr="00CE5B91" w:rsidRDefault="00CE5B91" w:rsidP="00CE5B91">
      <w:pPr>
        <w:spacing w:line="240" w:lineRule="atLeast"/>
        <w:jc w:val="both"/>
        <w:rPr>
          <w:rFonts w:ascii="Arial" w:hAnsi="Arial" w:cs="Arial"/>
          <w:bCs/>
          <w:sz w:val="22"/>
          <w:szCs w:val="22"/>
        </w:rPr>
      </w:pPr>
      <w:r w:rsidRPr="00CE5B91">
        <w:rPr>
          <w:rFonts w:ascii="Arial" w:hAnsi="Arial" w:cs="Arial"/>
          <w:bCs/>
          <w:sz w:val="22"/>
          <w:szCs w:val="22"/>
        </w:rPr>
        <w:t>-</w:t>
      </w:r>
      <w:r w:rsidRPr="00CE5B91">
        <w:rPr>
          <w:rFonts w:ascii="Arial" w:hAnsi="Arial" w:cs="Arial"/>
          <w:bCs/>
          <w:sz w:val="22"/>
          <w:szCs w:val="22"/>
        </w:rPr>
        <w:tab/>
        <w:t>Mapa I Građevinski projekt prometnica, oznake 23-02-1-1/2021, studeni 2022.</w:t>
      </w:r>
    </w:p>
    <w:p w:rsidR="00CE5B91" w:rsidRPr="00CE5B91" w:rsidRDefault="00CE5B91" w:rsidP="00CE5B91">
      <w:pPr>
        <w:spacing w:line="240" w:lineRule="atLeast"/>
        <w:jc w:val="both"/>
        <w:rPr>
          <w:rFonts w:ascii="Arial" w:hAnsi="Arial" w:cs="Arial"/>
          <w:bCs/>
          <w:sz w:val="22"/>
          <w:szCs w:val="22"/>
        </w:rPr>
      </w:pPr>
      <w:r w:rsidRPr="00CE5B91">
        <w:rPr>
          <w:rFonts w:ascii="Arial" w:hAnsi="Arial" w:cs="Arial"/>
          <w:bCs/>
          <w:sz w:val="22"/>
          <w:szCs w:val="22"/>
        </w:rPr>
        <w:t>-</w:t>
      </w:r>
      <w:r w:rsidRPr="00CE5B91">
        <w:rPr>
          <w:rFonts w:ascii="Arial" w:hAnsi="Arial" w:cs="Arial"/>
          <w:bCs/>
          <w:sz w:val="22"/>
          <w:szCs w:val="22"/>
        </w:rPr>
        <w:tab/>
        <w:t>Mapa II Građevinski projekt oborinske odvodnje oznake 23-02-2-1/2021, studeni 2022.</w:t>
      </w:r>
    </w:p>
    <w:p w:rsidR="00922B0A" w:rsidRPr="00922B0A" w:rsidRDefault="00CE5B91" w:rsidP="00CE5B91">
      <w:pPr>
        <w:spacing w:line="240" w:lineRule="atLeast"/>
        <w:jc w:val="both"/>
        <w:rPr>
          <w:rFonts w:ascii="Arial" w:hAnsi="Arial" w:cs="Arial"/>
          <w:bCs/>
          <w:sz w:val="22"/>
          <w:szCs w:val="22"/>
        </w:rPr>
      </w:pPr>
      <w:r w:rsidRPr="00CE5B91">
        <w:rPr>
          <w:rFonts w:ascii="Arial" w:hAnsi="Arial" w:cs="Arial"/>
          <w:bCs/>
          <w:sz w:val="22"/>
          <w:szCs w:val="22"/>
        </w:rPr>
        <w:t>-</w:t>
      </w:r>
      <w:r w:rsidRPr="00CE5B91">
        <w:rPr>
          <w:rFonts w:ascii="Arial" w:hAnsi="Arial" w:cs="Arial"/>
          <w:bCs/>
          <w:sz w:val="22"/>
          <w:szCs w:val="22"/>
        </w:rPr>
        <w:tab/>
        <w:t>Elaborat krajobraznog uređenja, oznake 1/22, studeni 2022</w:t>
      </w:r>
      <w:r>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9F2379" w:rsidRPr="009F2379">
        <w:rPr>
          <w:rFonts w:ascii="Arial" w:hAnsi="Arial" w:cs="Arial"/>
          <w:bCs/>
          <w:sz w:val="22"/>
          <w:szCs w:val="22"/>
        </w:rPr>
        <w:t>Izgradnja prometnica u Poduzetničkoj zoni Turbina 3 u Slatini – 1. faza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w:t>
      </w:r>
      <w:r w:rsidRPr="00922B0A">
        <w:rPr>
          <w:rFonts w:ascii="Arial" w:hAnsi="Arial" w:cs="Arial"/>
          <w:bCs/>
          <w:sz w:val="22"/>
          <w:szCs w:val="22"/>
        </w:rPr>
        <w:lastRenderedPageBreak/>
        <w:t xml:space="preserve">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2A7069" w:rsidRPr="002A7069">
        <w:rPr>
          <w:rFonts w:ascii="Arial" w:hAnsi="Arial" w:cs="Arial"/>
          <w:bCs/>
          <w:color w:val="auto"/>
          <w:sz w:val="22"/>
          <w:szCs w:val="22"/>
        </w:rPr>
        <w:t>izvođenja svih radova je 12</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2A7069" w:rsidRPr="002A7069">
        <w:rPr>
          <w:rFonts w:ascii="Arial" w:hAnsi="Arial" w:cs="Arial"/>
          <w:bCs/>
          <w:color w:val="auto"/>
          <w:sz w:val="22"/>
          <w:szCs w:val="22"/>
        </w:rPr>
        <w:t>jnji rok izvršenja ugovora je 14</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KLASA: 406-04/22-01</w:t>
      </w:r>
      <w:r w:rsidR="000A599F">
        <w:rPr>
          <w:rFonts w:ascii="Arial" w:hAnsi="Arial" w:cs="Arial"/>
          <w:bCs/>
          <w:sz w:val="22"/>
          <w:szCs w:val="22"/>
        </w:rPr>
        <w:t>/</w:t>
      </w:r>
      <w:r>
        <w:rPr>
          <w:rFonts w:ascii="Arial" w:hAnsi="Arial" w:cs="Arial"/>
          <w:bCs/>
          <w:sz w:val="22"/>
          <w:szCs w:val="22"/>
        </w:rPr>
        <w:t>1</w:t>
      </w:r>
      <w:r w:rsidR="000A599F">
        <w:rPr>
          <w:rFonts w:ascii="Arial" w:hAnsi="Arial" w:cs="Arial"/>
          <w:bCs/>
          <w:sz w:val="22"/>
          <w:szCs w:val="22"/>
        </w:rPr>
        <w:t>4</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1AE" w:rsidRDefault="007171AE">
      <w:r>
        <w:separator/>
      </w:r>
    </w:p>
  </w:endnote>
  <w:endnote w:type="continuationSeparator" w:id="0">
    <w:p w:rsidR="007171AE" w:rsidRDefault="00717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1AE" w:rsidRPr="000E5999" w:rsidRDefault="007171AE">
    <w:pPr>
      <w:pStyle w:val="Podnoje"/>
      <w:jc w:val="right"/>
      <w:rPr>
        <w:rFonts w:ascii="Arial" w:hAnsi="Arial" w:cs="Arial"/>
        <w:sz w:val="20"/>
        <w:szCs w:val="20"/>
      </w:rPr>
    </w:pPr>
  </w:p>
  <w:p w:rsidR="007171AE" w:rsidRDefault="007171A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EndPr/>
    <w:sdtContent>
      <w:p w:rsidR="00DF6822" w:rsidRPr="00DF6822" w:rsidRDefault="00DF6822">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F63EFA">
          <w:rPr>
            <w:rFonts w:ascii="Arial" w:hAnsi="Arial" w:cs="Arial"/>
            <w:sz w:val="22"/>
            <w:szCs w:val="22"/>
          </w:rPr>
          <w:t>20</w:t>
        </w:r>
        <w:r w:rsidRPr="00DF6822">
          <w:rPr>
            <w:rFonts w:ascii="Arial" w:hAnsi="Arial" w:cs="Arial"/>
            <w:sz w:val="22"/>
            <w:szCs w:val="22"/>
          </w:rPr>
          <w:fldChar w:fldCharType="end"/>
        </w:r>
      </w:p>
    </w:sdtContent>
  </w:sdt>
  <w:p w:rsidR="00DF6822" w:rsidRDefault="00DF682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7171AE" w:rsidRDefault="007171A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F63EFA">
          <w:rPr>
            <w:rFonts w:ascii="Arial" w:hAnsi="Arial" w:cs="Arial"/>
            <w:sz w:val="20"/>
            <w:szCs w:val="20"/>
          </w:rPr>
          <w:t>1</w:t>
        </w:r>
        <w:r w:rsidRPr="00DC158A">
          <w:rPr>
            <w:rFonts w:ascii="Arial" w:hAnsi="Arial" w:cs="Arial"/>
            <w:sz w:val="20"/>
            <w:szCs w:val="20"/>
          </w:rPr>
          <w:fldChar w:fldCharType="end"/>
        </w:r>
      </w:p>
    </w:sdtContent>
  </w:sdt>
  <w:p w:rsidR="007171AE" w:rsidRDefault="007171A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1AE" w:rsidRDefault="007171AE">
      <w:r>
        <w:separator/>
      </w:r>
    </w:p>
  </w:footnote>
  <w:footnote w:type="continuationSeparator" w:id="0">
    <w:p w:rsidR="007171AE" w:rsidRDefault="00717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6"/>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D51"/>
    <w:rsid w:val="00070C1F"/>
    <w:rsid w:val="000716BA"/>
    <w:rsid w:val="00071CCF"/>
    <w:rsid w:val="00073682"/>
    <w:rsid w:val="0007729D"/>
    <w:rsid w:val="00081BA7"/>
    <w:rsid w:val="00083105"/>
    <w:rsid w:val="00083A4C"/>
    <w:rsid w:val="00084A42"/>
    <w:rsid w:val="000878E7"/>
    <w:rsid w:val="00090457"/>
    <w:rsid w:val="00090CE2"/>
    <w:rsid w:val="0009123C"/>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300775"/>
    <w:rsid w:val="00300FE0"/>
    <w:rsid w:val="00303B45"/>
    <w:rsid w:val="00305AF2"/>
    <w:rsid w:val="00306006"/>
    <w:rsid w:val="00307E69"/>
    <w:rsid w:val="0031412D"/>
    <w:rsid w:val="003145CE"/>
    <w:rsid w:val="00314A47"/>
    <w:rsid w:val="0031743C"/>
    <w:rsid w:val="0032148C"/>
    <w:rsid w:val="003217B2"/>
    <w:rsid w:val="00323C30"/>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47FD"/>
    <w:rsid w:val="005C5BDD"/>
    <w:rsid w:val="005C651E"/>
    <w:rsid w:val="005C6EF8"/>
    <w:rsid w:val="005C763A"/>
    <w:rsid w:val="005D2ECF"/>
    <w:rsid w:val="005D43DC"/>
    <w:rsid w:val="005D4CAD"/>
    <w:rsid w:val="005D68B8"/>
    <w:rsid w:val="005D7F51"/>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5F0B"/>
    <w:rsid w:val="00676BC3"/>
    <w:rsid w:val="00677191"/>
    <w:rsid w:val="0067719D"/>
    <w:rsid w:val="006812EE"/>
    <w:rsid w:val="00682D49"/>
    <w:rsid w:val="006839EF"/>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0672"/>
    <w:rsid w:val="006F1226"/>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B52"/>
    <w:rsid w:val="009A2C4E"/>
    <w:rsid w:val="009A3379"/>
    <w:rsid w:val="009A4B1F"/>
    <w:rsid w:val="009A4DCD"/>
    <w:rsid w:val="009A5F4D"/>
    <w:rsid w:val="009B0C13"/>
    <w:rsid w:val="009B6A63"/>
    <w:rsid w:val="009C2DDB"/>
    <w:rsid w:val="009C32E2"/>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1267"/>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4EDC"/>
    <w:rsid w:val="00C7537D"/>
    <w:rsid w:val="00C76C0F"/>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D6C20"/>
    <w:rsid w:val="00CE52BF"/>
    <w:rsid w:val="00CE5B91"/>
    <w:rsid w:val="00CE5BE8"/>
    <w:rsid w:val="00CE65A7"/>
    <w:rsid w:val="00CF083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1766D"/>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8FD"/>
    <w:rsid w:val="00DF1E93"/>
    <w:rsid w:val="00DF38AA"/>
    <w:rsid w:val="00DF6822"/>
    <w:rsid w:val="00E01E23"/>
    <w:rsid w:val="00E01E98"/>
    <w:rsid w:val="00E0358D"/>
    <w:rsid w:val="00E0672F"/>
    <w:rsid w:val="00E06965"/>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40B3"/>
    <w:rsid w:val="00ED4F2F"/>
    <w:rsid w:val="00ED6AC4"/>
    <w:rsid w:val="00ED762E"/>
    <w:rsid w:val="00EE17E2"/>
    <w:rsid w:val="00EE1E6D"/>
    <w:rsid w:val="00EE3E98"/>
    <w:rsid w:val="00EE4B40"/>
    <w:rsid w:val="00EE562B"/>
    <w:rsid w:val="00EF20B7"/>
    <w:rsid w:val="00EF238E"/>
    <w:rsid w:val="00EF2AF8"/>
    <w:rsid w:val="00EF324D"/>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0707-6011-40EC-9E94-942A7498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2400</TotalTime>
  <Pages>48</Pages>
  <Words>24416</Words>
  <Characters>139176</Characters>
  <Application>Microsoft Office Word</Application>
  <DocSecurity>0</DocSecurity>
  <Lines>1159</Lines>
  <Paragraphs>326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80</cp:revision>
  <cp:lastPrinted>2023-02-02T09:49:00Z</cp:lastPrinted>
  <dcterms:created xsi:type="dcterms:W3CDTF">2020-10-21T05:52:00Z</dcterms:created>
  <dcterms:modified xsi:type="dcterms:W3CDTF">2023-02-13T09:55:00Z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