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 w:type="dxa"/>
        <w:tblLayout w:type="fixed"/>
        <w:tblLook w:val="0000" w:firstRow="0" w:lastRow="0" w:firstColumn="0" w:lastColumn="0" w:noHBand="0" w:noVBand="0"/>
      </w:tblPr>
      <w:tblGrid>
        <w:gridCol w:w="4068"/>
      </w:tblGrid>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Broj RKP-a: 32947</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Matični broj: 02679299</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OIB: 68254459599</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Naziv obveznika: Grad Slatina</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Pošta i mjesto: 33520 Slatina</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Ulica i kućni broj: Trg sv. Josipa 10</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Razina: 23</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Šifra djelatnosti: 8411</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Šifra grada/općine: 395</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AOP oznaka razdoblja: 2017-12</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lastRenderedPageBreak/>
              <w:t>Osoba za kontaktiranje:</w:t>
            </w:r>
          </w:p>
          <w:p w:rsidR="00DD5633" w:rsidRDefault="00DD5633" w:rsidP="00E840B8">
            <w:pPr>
              <w:pStyle w:val="Heading"/>
              <w:jc w:val="both"/>
            </w:pPr>
            <w:r>
              <w:rPr>
                <w:sz w:val="20"/>
                <w:szCs w:val="20"/>
              </w:rPr>
              <w:t xml:space="preserve">Vesna </w:t>
            </w:r>
            <w:proofErr w:type="spellStart"/>
            <w:r>
              <w:rPr>
                <w:sz w:val="20"/>
                <w:szCs w:val="20"/>
              </w:rPr>
              <w:t>Hudoletnjak</w:t>
            </w:r>
            <w:proofErr w:type="spellEnd"/>
            <w:r>
              <w:rPr>
                <w:sz w:val="20"/>
                <w:szCs w:val="20"/>
              </w:rPr>
              <w:t>, dipl. oec.</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Telefon:033-492-203</w:t>
            </w:r>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proofErr w:type="spellStart"/>
            <w:r>
              <w:rPr>
                <w:sz w:val="20"/>
                <w:szCs w:val="20"/>
              </w:rPr>
              <w:t>Adresae</w:t>
            </w:r>
            <w:proofErr w:type="spellEnd"/>
            <w:r>
              <w:rPr>
                <w:sz w:val="20"/>
                <w:szCs w:val="20"/>
              </w:rPr>
              <w:t>-pošte za kontakt:</w:t>
            </w:r>
          </w:p>
          <w:p w:rsidR="00DD5633" w:rsidRDefault="00DD5633" w:rsidP="00E840B8">
            <w:pPr>
              <w:pStyle w:val="Heading"/>
              <w:jc w:val="both"/>
              <w:rPr>
                <w:sz w:val="20"/>
                <w:szCs w:val="20"/>
              </w:rPr>
            </w:pPr>
            <w:r>
              <w:rPr>
                <w:rStyle w:val="Hiperveza"/>
                <w:sz w:val="20"/>
                <w:szCs w:val="20"/>
              </w:rPr>
              <w:t>vesna.hudoletnjak</w:t>
            </w:r>
            <w:hyperlink r:id="rId9" w:history="1">
              <w:r>
                <w:rPr>
                  <w:rStyle w:val="Hiperveza"/>
                  <w:sz w:val="20"/>
                  <w:szCs w:val="20"/>
                </w:rPr>
                <w:t>@slatina.hr</w:t>
              </w:r>
            </w:hyperlink>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jc w:val="both"/>
            </w:pPr>
            <w:r>
              <w:rPr>
                <w:sz w:val="20"/>
                <w:szCs w:val="20"/>
              </w:rPr>
              <w:t xml:space="preserve">Adresa e-pošte obveznika: </w:t>
            </w:r>
          </w:p>
          <w:p w:rsidR="00DD5633" w:rsidRDefault="00E840B8" w:rsidP="00E840B8">
            <w:pPr>
              <w:pStyle w:val="Heading"/>
              <w:jc w:val="both"/>
              <w:rPr>
                <w:sz w:val="20"/>
                <w:szCs w:val="20"/>
              </w:rPr>
            </w:pPr>
            <w:hyperlink r:id="rId10" w:history="1">
              <w:r w:rsidR="00DD5633">
                <w:rPr>
                  <w:rStyle w:val="Hiperveza"/>
                  <w:sz w:val="20"/>
                  <w:szCs w:val="20"/>
                </w:rPr>
                <w:t>gradska.uprava@slatina.hr</w:t>
              </w:r>
            </w:hyperlink>
          </w:p>
        </w:tc>
      </w:tr>
      <w:tr w:rsidR="00DD5633" w:rsidTr="00E840B8">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DD5633" w:rsidRDefault="00DD5633" w:rsidP="00E840B8">
            <w:pPr>
              <w:pStyle w:val="Heading"/>
              <w:snapToGrid w:val="0"/>
              <w:jc w:val="both"/>
              <w:rPr>
                <w:sz w:val="20"/>
                <w:szCs w:val="20"/>
              </w:rPr>
            </w:pPr>
          </w:p>
          <w:p w:rsidR="00DD5633" w:rsidRDefault="00DD5633" w:rsidP="00E840B8">
            <w:pPr>
              <w:pStyle w:val="Heading"/>
              <w:jc w:val="both"/>
            </w:pPr>
            <w:r>
              <w:rPr>
                <w:sz w:val="20"/>
                <w:szCs w:val="20"/>
              </w:rPr>
              <w:t xml:space="preserve">Zakonski predstavnik: Denis </w:t>
            </w:r>
            <w:proofErr w:type="spellStart"/>
            <w:r>
              <w:rPr>
                <w:sz w:val="20"/>
                <w:szCs w:val="20"/>
              </w:rPr>
              <w:t>Ostrošić</w:t>
            </w:r>
            <w:proofErr w:type="spellEnd"/>
            <w:r>
              <w:rPr>
                <w:sz w:val="20"/>
                <w:szCs w:val="20"/>
              </w:rPr>
              <w:t>, prof.</w:t>
            </w:r>
          </w:p>
        </w:tc>
      </w:tr>
    </w:tbl>
    <w:p w:rsidR="00EB460D" w:rsidRDefault="00EB460D" w:rsidP="00DD5633">
      <w:pPr>
        <w:pStyle w:val="Heading"/>
        <w:jc w:val="both"/>
        <w:sectPr w:rsidR="00EB460D" w:rsidSect="00EB460D">
          <w:footerReference w:type="default" r:id="rId11"/>
          <w:pgSz w:w="11906" w:h="16838"/>
          <w:pgMar w:top="1417" w:right="1417" w:bottom="1417" w:left="1417" w:header="708" w:footer="708" w:gutter="0"/>
          <w:cols w:num="2" w:space="708"/>
          <w:docGrid w:linePitch="360"/>
        </w:sectPr>
      </w:pPr>
    </w:p>
    <w:p w:rsidR="00DD5633" w:rsidRDefault="00DD5633" w:rsidP="00DD5633">
      <w:pPr>
        <w:pStyle w:val="Heading"/>
      </w:pPr>
    </w:p>
    <w:p w:rsidR="00DD5633" w:rsidRDefault="00DD5633" w:rsidP="00DD5633">
      <w:pPr>
        <w:pStyle w:val="Heading"/>
      </w:pPr>
      <w:r>
        <w:t>BILJEŠKE</w:t>
      </w:r>
    </w:p>
    <w:p w:rsidR="00DD5633" w:rsidRDefault="00DD5633" w:rsidP="00DD5633">
      <w:pPr>
        <w:jc w:val="center"/>
      </w:pPr>
      <w:r>
        <w:rPr>
          <w:b/>
        </w:rPr>
        <w:t>uz konsolidirani financijski izvještaj</w:t>
      </w:r>
    </w:p>
    <w:p w:rsidR="00DD5633" w:rsidRDefault="00DD5633" w:rsidP="00DD5633">
      <w:pPr>
        <w:jc w:val="center"/>
      </w:pPr>
      <w:r>
        <w:rPr>
          <w:b/>
        </w:rPr>
        <w:t>za razdoblje od 1. siječnja do 31. prosinca 2017. godine</w:t>
      </w:r>
    </w:p>
    <w:p w:rsidR="00DD5633" w:rsidRDefault="00DD5633" w:rsidP="00DD5633">
      <w:pPr>
        <w:jc w:val="both"/>
        <w:rPr>
          <w:b/>
        </w:rPr>
      </w:pPr>
    </w:p>
    <w:p w:rsidR="00DD5633" w:rsidRDefault="00DD5633" w:rsidP="00DD5633">
      <w:pPr>
        <w:jc w:val="both"/>
      </w:pPr>
      <w:r>
        <w:rPr>
          <w:b/>
          <w:u w:val="single"/>
        </w:rPr>
        <w:t>Opći dio</w:t>
      </w:r>
    </w:p>
    <w:p w:rsidR="00DD5633" w:rsidRDefault="00DD5633" w:rsidP="00DD5633">
      <w:pPr>
        <w:jc w:val="both"/>
        <w:rPr>
          <w:b/>
          <w:u w:val="single"/>
        </w:rPr>
      </w:pPr>
    </w:p>
    <w:p w:rsidR="00DD5633" w:rsidRDefault="00DD5633" w:rsidP="00DD5633">
      <w:pPr>
        <w:ind w:firstLine="708"/>
        <w:jc w:val="both"/>
      </w:pPr>
      <w:r>
        <w:rPr>
          <w:lang w:val="es-ES"/>
        </w:rPr>
        <w:t>Grad</w:t>
      </w:r>
      <w:r>
        <w:t xml:space="preserve"> </w:t>
      </w:r>
      <w:r>
        <w:rPr>
          <w:lang w:val="es-ES"/>
        </w:rPr>
        <w:t>Slatina</w:t>
      </w:r>
      <w:r>
        <w:t xml:space="preserve"> </w:t>
      </w:r>
      <w:r>
        <w:rPr>
          <w:lang w:val="es-ES"/>
        </w:rPr>
        <w:t xml:space="preserve">obavlja poslovanje putem redovnog </w:t>
      </w:r>
      <w:r>
        <w:t xml:space="preserve">IBAN </w:t>
      </w:r>
      <w:r>
        <w:rPr>
          <w:lang w:val="es-ES"/>
        </w:rPr>
        <w:t>ra</w:t>
      </w:r>
      <w:r>
        <w:t>č</w:t>
      </w:r>
      <w:r>
        <w:rPr>
          <w:lang w:val="es-ES"/>
        </w:rPr>
        <w:t>una</w:t>
      </w:r>
      <w:r>
        <w:t xml:space="preserve"> </w:t>
      </w:r>
      <w:r>
        <w:rPr>
          <w:lang w:val="es-ES"/>
        </w:rPr>
        <w:t>broj</w:t>
      </w:r>
      <w:r>
        <w:t xml:space="preserve"> HR6324120091839500001, </w:t>
      </w:r>
      <w:r>
        <w:rPr>
          <w:lang w:val="es-ES"/>
        </w:rPr>
        <w:t>otvorenog</w:t>
      </w:r>
      <w:r>
        <w:t xml:space="preserve"> </w:t>
      </w:r>
      <w:r>
        <w:rPr>
          <w:lang w:val="es-ES"/>
        </w:rPr>
        <w:t>kod</w:t>
      </w:r>
      <w:r>
        <w:t xml:space="preserve"> </w:t>
      </w:r>
      <w:r>
        <w:rPr>
          <w:lang w:val="es-ES"/>
        </w:rPr>
        <w:t>Slatinske</w:t>
      </w:r>
      <w:r>
        <w:t xml:space="preserve"> </w:t>
      </w:r>
      <w:r>
        <w:rPr>
          <w:lang w:val="es-ES"/>
        </w:rPr>
        <w:t>banke</w:t>
      </w:r>
      <w:r>
        <w:t xml:space="preserve"> </w:t>
      </w:r>
      <w:r>
        <w:rPr>
          <w:lang w:val="es-ES"/>
        </w:rPr>
        <w:t>d</w:t>
      </w:r>
      <w:r>
        <w:t>.</w:t>
      </w:r>
      <w:r>
        <w:rPr>
          <w:lang w:val="es-ES"/>
        </w:rPr>
        <w:t>d</w:t>
      </w:r>
      <w:r>
        <w:t xml:space="preserve">. Slatina.  Poseban račun za praćenje uplaćenih sredstava za komunalnu i vodnu naknadu otvoren je 2.12.2011. godine i to broj IBAN: HR6524120091520000201. </w:t>
      </w:r>
    </w:p>
    <w:p w:rsidR="00DD5633" w:rsidRDefault="00DD5633" w:rsidP="00E840B8">
      <w:pPr>
        <w:ind w:firstLine="708"/>
        <w:jc w:val="both"/>
      </w:pPr>
      <w:r>
        <w:rPr>
          <w:lang w:val="es-ES"/>
        </w:rPr>
        <w:t>Zakonski</w:t>
      </w:r>
      <w:r>
        <w:t xml:space="preserve"> </w:t>
      </w:r>
      <w:r>
        <w:rPr>
          <w:lang w:val="es-ES"/>
        </w:rPr>
        <w:t>predstavnik</w:t>
      </w:r>
      <w:r>
        <w:t xml:space="preserve"> </w:t>
      </w:r>
      <w:r>
        <w:rPr>
          <w:lang w:val="es-ES"/>
        </w:rPr>
        <w:t>Grada</w:t>
      </w:r>
      <w:r>
        <w:t xml:space="preserve"> </w:t>
      </w:r>
      <w:r>
        <w:rPr>
          <w:lang w:val="es-ES"/>
        </w:rPr>
        <w:t>Slatine</w:t>
      </w:r>
      <w:r>
        <w:t xml:space="preserve"> </w:t>
      </w:r>
      <w:r>
        <w:rPr>
          <w:lang w:val="es-ES"/>
        </w:rPr>
        <w:t>za</w:t>
      </w:r>
      <w:r>
        <w:t xml:space="preserve"> 2017. </w:t>
      </w:r>
      <w:r>
        <w:rPr>
          <w:lang w:val="es-ES"/>
        </w:rPr>
        <w:t>godinu</w:t>
      </w:r>
      <w:r>
        <w:t xml:space="preserve"> </w:t>
      </w:r>
      <w:r>
        <w:rPr>
          <w:lang w:val="es-ES"/>
        </w:rPr>
        <w:t>i</w:t>
      </w:r>
      <w:r>
        <w:t xml:space="preserve"> </w:t>
      </w:r>
      <w:r>
        <w:rPr>
          <w:lang w:val="es-ES"/>
        </w:rPr>
        <w:t>Naredbodavatelj</w:t>
      </w:r>
      <w:r>
        <w:t xml:space="preserve"> </w:t>
      </w:r>
      <w:r>
        <w:rPr>
          <w:lang w:val="es-ES"/>
        </w:rPr>
        <w:t>za</w:t>
      </w:r>
      <w:r>
        <w:t xml:space="preserve"> </w:t>
      </w:r>
      <w:r>
        <w:rPr>
          <w:lang w:val="es-ES"/>
        </w:rPr>
        <w:t>izvr</w:t>
      </w:r>
      <w:r>
        <w:t>š</w:t>
      </w:r>
      <w:r>
        <w:rPr>
          <w:lang w:val="es-ES"/>
        </w:rPr>
        <w:t>avanje</w:t>
      </w:r>
      <w:r>
        <w:t xml:space="preserve"> </w:t>
      </w:r>
      <w:r>
        <w:rPr>
          <w:lang w:val="es-ES"/>
        </w:rPr>
        <w:t>Prora</w:t>
      </w:r>
      <w:r>
        <w:t>č</w:t>
      </w:r>
      <w:r>
        <w:rPr>
          <w:lang w:val="es-ES"/>
        </w:rPr>
        <w:t>una</w:t>
      </w:r>
      <w:r>
        <w:t xml:space="preserve"> </w:t>
      </w:r>
      <w:r>
        <w:rPr>
          <w:lang w:val="es-ES"/>
        </w:rPr>
        <w:t>Grada</w:t>
      </w:r>
      <w:r>
        <w:t xml:space="preserve"> </w:t>
      </w:r>
      <w:r>
        <w:rPr>
          <w:lang w:val="es-ES"/>
        </w:rPr>
        <w:t>Slatine</w:t>
      </w:r>
      <w:r>
        <w:t xml:space="preserve"> </w:t>
      </w:r>
      <w:r>
        <w:rPr>
          <w:lang w:val="es-ES"/>
        </w:rPr>
        <w:t>za</w:t>
      </w:r>
      <w:r>
        <w:t xml:space="preserve"> 2017. </w:t>
      </w:r>
      <w:r>
        <w:rPr>
          <w:lang w:val="es-ES"/>
        </w:rPr>
        <w:t>godinu</w:t>
      </w:r>
      <w:r w:rsidR="00E840B8">
        <w:rPr>
          <w:lang w:val="es-ES"/>
        </w:rPr>
        <w:t xml:space="preserve"> do 7.6. 2017., bio je Gradonačelnik Ivan Roštaš, a od 7.6.2017.</w:t>
      </w:r>
      <w:r>
        <w:t xml:space="preserve"> </w:t>
      </w:r>
      <w:r>
        <w:rPr>
          <w:lang w:val="es-ES"/>
        </w:rPr>
        <w:t>je</w:t>
      </w:r>
      <w:r>
        <w:t xml:space="preserve"> </w:t>
      </w:r>
      <w:r>
        <w:rPr>
          <w:lang w:val="es-ES"/>
        </w:rPr>
        <w:t>Gradona</w:t>
      </w:r>
      <w:r>
        <w:t>č</w:t>
      </w:r>
      <w:r>
        <w:rPr>
          <w:lang w:val="es-ES"/>
        </w:rPr>
        <w:t>elnik</w:t>
      </w:r>
      <w:r>
        <w:t xml:space="preserve"> </w:t>
      </w:r>
      <w:r>
        <w:rPr>
          <w:lang w:val="es-ES"/>
        </w:rPr>
        <w:t>Denis Ostrošić</w:t>
      </w:r>
      <w:r>
        <w:t xml:space="preserve">.                         </w:t>
      </w:r>
    </w:p>
    <w:p w:rsidR="00DD5633" w:rsidRDefault="00DD5633" w:rsidP="00DD5633">
      <w:pPr>
        <w:jc w:val="both"/>
      </w:pPr>
      <w:r>
        <w:t xml:space="preserve">         </w:t>
      </w:r>
    </w:p>
    <w:p w:rsidR="00DD5633" w:rsidRDefault="00DD5633" w:rsidP="00E840B8">
      <w:pPr>
        <w:ind w:firstLine="708"/>
        <w:jc w:val="both"/>
      </w:pPr>
      <w:r>
        <w:t>Proračunski korisnici Grada Slatine čiji su Godišnji financijski izvještaji konsolidirani sa Godišnjim izvještajem Grada Slatine jesu:</w:t>
      </w:r>
    </w:p>
    <w:p w:rsidR="00DD5633" w:rsidRDefault="00DD5633" w:rsidP="00DD5633">
      <w:pPr>
        <w:numPr>
          <w:ilvl w:val="0"/>
          <w:numId w:val="15"/>
        </w:numPr>
        <w:jc w:val="both"/>
      </w:pPr>
      <w:r>
        <w:t>Dječji vrtić „Zeko“ Slatina, RKP broj 32955, IBAN broj HR3924120091120002739,</w:t>
      </w:r>
    </w:p>
    <w:p w:rsidR="00DD5633" w:rsidRDefault="00DD5633" w:rsidP="00DD5633">
      <w:pPr>
        <w:numPr>
          <w:ilvl w:val="0"/>
          <w:numId w:val="15"/>
        </w:numPr>
        <w:jc w:val="both"/>
      </w:pPr>
      <w:r>
        <w:t>Pučko otvoreno učilište u Slatini, RKP broj 32963, IBAN broj HR8124120091120005766,</w:t>
      </w:r>
    </w:p>
    <w:p w:rsidR="00DD5633" w:rsidRDefault="00DD5633" w:rsidP="00DD5633">
      <w:pPr>
        <w:numPr>
          <w:ilvl w:val="0"/>
          <w:numId w:val="15"/>
        </w:numPr>
        <w:jc w:val="both"/>
      </w:pPr>
      <w:r>
        <w:t>Gradska knjižnica i čitaonica Slatina, RKP broj 40787, IBAN broj HR7724120091120007972,</w:t>
      </w:r>
    </w:p>
    <w:p w:rsidR="00DD5633" w:rsidRDefault="00DD5633" w:rsidP="00DD5633">
      <w:pPr>
        <w:numPr>
          <w:ilvl w:val="0"/>
          <w:numId w:val="15"/>
        </w:numPr>
        <w:jc w:val="both"/>
      </w:pPr>
      <w:r>
        <w:t xml:space="preserve">Zavičajni muzej Slatina, RKP broj 40779, IBAN broj HR2124120091120008107, </w:t>
      </w:r>
    </w:p>
    <w:p w:rsidR="00DD5633" w:rsidRDefault="00DD5633" w:rsidP="00DD5633">
      <w:pPr>
        <w:numPr>
          <w:ilvl w:val="0"/>
          <w:numId w:val="15"/>
        </w:numPr>
        <w:jc w:val="both"/>
      </w:pPr>
      <w:r>
        <w:t>Javna vatrogasna postrojba Grada Slatine,</w:t>
      </w:r>
      <w:r w:rsidRPr="00C5632E">
        <w:t xml:space="preserve"> </w:t>
      </w:r>
      <w:r>
        <w:t>RKP broj 32971, IBAN broj HR0724120091120008359,</w:t>
      </w:r>
    </w:p>
    <w:p w:rsidR="00DD5633" w:rsidRDefault="00DD5633" w:rsidP="00DD5633">
      <w:pPr>
        <w:numPr>
          <w:ilvl w:val="0"/>
          <w:numId w:val="15"/>
        </w:numPr>
        <w:jc w:val="both"/>
      </w:pPr>
      <w:r>
        <w:t>Gradska razvojna agencija Grada Slatine, RKP broj 48322, IBAN broj: HR4624120091120007948,</w:t>
      </w:r>
    </w:p>
    <w:p w:rsidR="00DD5633" w:rsidRDefault="00DD5633" w:rsidP="00DD5633">
      <w:pPr>
        <w:numPr>
          <w:ilvl w:val="0"/>
          <w:numId w:val="15"/>
        </w:numPr>
        <w:jc w:val="both"/>
      </w:pPr>
      <w:r>
        <w:t>Vijeće srpske nacionalne manjine, RKP broj 45687, IBAN broj HR3423600001101692681 (Upisano u Registar proračunskih korisnika 26.10.2009. godine).</w:t>
      </w:r>
    </w:p>
    <w:p w:rsidR="00DD5633" w:rsidRDefault="00DD5633" w:rsidP="00DD5633">
      <w:pPr>
        <w:jc w:val="both"/>
      </w:pPr>
      <w:r>
        <w:tab/>
        <w:t xml:space="preserve">Sukladno članku 11. i 12. Odluke o izvršavanju Proračuna Grada Slatine za 2017. godinu, Klasa:400-06/16-01/16, </w:t>
      </w:r>
      <w:proofErr w:type="spellStart"/>
      <w:r>
        <w:t>Urbroj</w:t>
      </w:r>
      <w:proofErr w:type="spellEnd"/>
      <w:r>
        <w:t>:2189/02-05/01-16-1, od 16. prosinca 2016. godine, svi prihodi proračunskih korisnika i svi rashodi planirani su u Proračunu, a sami proračunski korisnici imali su obvezu uplaćivati sve svoje prihode u gradski proračun.</w:t>
      </w:r>
    </w:p>
    <w:p w:rsidR="00DD5633" w:rsidRDefault="00DD5633" w:rsidP="00DD5633">
      <w:pPr>
        <w:tabs>
          <w:tab w:val="left" w:pos="1191"/>
        </w:tabs>
        <w:jc w:val="both"/>
      </w:pPr>
      <w:r>
        <w:t xml:space="preserve">Konsolidiranim financijskim izvještajem obuhvaćeni su financijski izvještaji Grada Slatine razina 22 i financijski izvještaji proračunskih korisnika razina 21 i 31 za 2017. godinu. S obzirom da je određeni iznos sredstava prenesen Vijeću srpske nacionalne manjine iz proračuna na ime pomoći u konsolidaciji je taj iznos sredstava raspoređen na stvarne troškove, zato što taj proračunski korisnik nije imao obvezu uplaćivati svoja sredstva tijekom godine u Proračun, pa su i njegovi rashodi po prirodnim vrstama vidljivi tek u konsolidiranom financijskom izvještaju Grada.  </w:t>
      </w:r>
    </w:p>
    <w:p w:rsidR="0066338A" w:rsidRDefault="0066338A" w:rsidP="00DD5633">
      <w:pPr>
        <w:tabs>
          <w:tab w:val="left" w:pos="1191"/>
        </w:tabs>
        <w:jc w:val="both"/>
      </w:pPr>
    </w:p>
    <w:p w:rsidR="00DD5633" w:rsidRDefault="00DD5633" w:rsidP="00DD5633">
      <w:pPr>
        <w:jc w:val="both"/>
      </w:pPr>
      <w:r>
        <w:rPr>
          <w:b/>
          <w:u w:val="single"/>
        </w:rPr>
        <w:lastRenderedPageBreak/>
        <w:t>Bilješke uz Bilancu –uz obrazac: BIL</w:t>
      </w:r>
    </w:p>
    <w:p w:rsidR="00DD5633" w:rsidRDefault="00DD5633" w:rsidP="00DD5633">
      <w:pPr>
        <w:jc w:val="both"/>
        <w:rPr>
          <w:b/>
          <w:u w:val="single"/>
        </w:rPr>
      </w:pPr>
    </w:p>
    <w:p w:rsidR="00DD5633" w:rsidRDefault="00DD5633" w:rsidP="00DD5633">
      <w:pPr>
        <w:jc w:val="both"/>
      </w:pPr>
      <w:r>
        <w:rPr>
          <w:u w:val="single"/>
        </w:rPr>
        <w:t>Bilješka broj 1. vezana za AOP oznaku 001 Imovina</w:t>
      </w:r>
    </w:p>
    <w:p w:rsidR="00DD5633" w:rsidRDefault="00DD5633" w:rsidP="00DD5633">
      <w:pPr>
        <w:ind w:left="720"/>
        <w:jc w:val="both"/>
        <w:rPr>
          <w:u w:val="single"/>
        </w:rPr>
      </w:pPr>
    </w:p>
    <w:p w:rsidR="00DD5633" w:rsidRDefault="00DD5633" w:rsidP="00DD5633">
      <w:pPr>
        <w:pStyle w:val="Standard"/>
        <w:jc w:val="both"/>
        <w:rPr>
          <w:rFonts w:hint="eastAsia"/>
        </w:rPr>
      </w:pPr>
      <w:r>
        <w:rPr>
          <w:rFonts w:ascii="Times New Roman" w:hAnsi="Times New Roman" w:cs="Times New Roman"/>
        </w:rPr>
        <w:t>Stanje imovine krajem godine je 0,</w:t>
      </w:r>
      <w:r w:rsidR="0066338A">
        <w:rPr>
          <w:rFonts w:ascii="Times New Roman" w:hAnsi="Times New Roman" w:cs="Times New Roman"/>
        </w:rPr>
        <w:t>8</w:t>
      </w:r>
      <w:r>
        <w:rPr>
          <w:rFonts w:ascii="Times New Roman" w:hAnsi="Times New Roman" w:cs="Times New Roman"/>
        </w:rPr>
        <w:t>% više u odnosu na početak godine, što ne predstavlja značajnija odstupanja. Unatoč nabavi nove imovine koja je utjecala na povećanje imovine prodaja imovine i ispravak vrijednosti postojeće imovine utjecali su većim dijelom na povećanje u odnosu na prošlu godinu po pojedinoj vrsti imovine, koje se mogu smatrati značajnijim. Promjene na imovini zabilježene su na:</w:t>
      </w:r>
    </w:p>
    <w:p w:rsidR="00DD5633" w:rsidRDefault="00DD5633" w:rsidP="00DD5633">
      <w:pPr>
        <w:pStyle w:val="Standard"/>
        <w:jc w:val="both"/>
        <w:rPr>
          <w:rFonts w:hint="eastAsia"/>
        </w:rPr>
      </w:pPr>
      <w:r>
        <w:rPr>
          <w:rFonts w:ascii="Times New Roman" w:hAnsi="Times New Roman" w:cs="Times New Roman"/>
        </w:rPr>
        <w:t xml:space="preserve">- </w:t>
      </w:r>
      <w:r>
        <w:rPr>
          <w:rFonts w:ascii="Times New Roman" w:hAnsi="Times New Roman" w:cs="Times New Roman"/>
          <w:b/>
        </w:rPr>
        <w:t>AOP 002 Nefinancijskoj imovini</w:t>
      </w:r>
      <w:r>
        <w:rPr>
          <w:rFonts w:ascii="Times New Roman" w:hAnsi="Times New Roman" w:cs="Times New Roman"/>
        </w:rPr>
        <w:t xml:space="preserve"> kao smanjenje u odnosu na prošlu godinu 0,2% nastalih zbog promjena na:</w:t>
      </w:r>
    </w:p>
    <w:p w:rsidR="00DD5633" w:rsidRDefault="00DD5633" w:rsidP="00DD5633">
      <w:pPr>
        <w:pStyle w:val="Standard"/>
        <w:jc w:val="both"/>
        <w:rPr>
          <w:rFonts w:hint="eastAsia"/>
        </w:rPr>
      </w:pPr>
      <w:r>
        <w:rPr>
          <w:rFonts w:ascii="Times New Roman" w:hAnsi="Times New Roman" w:cs="Times New Roman"/>
        </w:rPr>
        <w:t xml:space="preserve">- AOP 003 </w:t>
      </w:r>
      <w:proofErr w:type="spellStart"/>
      <w:r>
        <w:rPr>
          <w:rFonts w:ascii="Times New Roman" w:hAnsi="Times New Roman" w:cs="Times New Roman"/>
        </w:rPr>
        <w:t>Neproizvedenoj</w:t>
      </w:r>
      <w:proofErr w:type="spellEnd"/>
      <w:r>
        <w:rPr>
          <w:rFonts w:ascii="Times New Roman" w:hAnsi="Times New Roman" w:cs="Times New Roman"/>
        </w:rPr>
        <w:t xml:space="preserve"> dugotrajnoj imovini, koja je </w:t>
      </w:r>
      <w:r>
        <w:rPr>
          <w:rFonts w:ascii="Times New Roman" w:hAnsi="Times New Roman" w:cs="Times New Roman"/>
          <w:b/>
        </w:rPr>
        <w:t xml:space="preserve"> </w:t>
      </w:r>
      <w:r>
        <w:rPr>
          <w:rFonts w:ascii="Times New Roman" w:hAnsi="Times New Roman" w:cs="Times New Roman"/>
        </w:rPr>
        <w:t xml:space="preserve">manja u odnosu na početno stanje za 0,2%. Ovo smanjenje imovine odnosi se na obračunat ispravak vrijednosti </w:t>
      </w:r>
      <w:proofErr w:type="spellStart"/>
      <w:r>
        <w:rPr>
          <w:rFonts w:ascii="Times New Roman" w:hAnsi="Times New Roman" w:cs="Times New Roman"/>
        </w:rPr>
        <w:t>neproizvedene</w:t>
      </w:r>
      <w:proofErr w:type="spellEnd"/>
      <w:r>
        <w:rPr>
          <w:rFonts w:ascii="Times New Roman" w:hAnsi="Times New Roman" w:cs="Times New Roman"/>
        </w:rPr>
        <w:t xml:space="preserve"> dugotrajne imovine.</w:t>
      </w:r>
    </w:p>
    <w:p w:rsidR="00DD5633" w:rsidRDefault="00DD5633" w:rsidP="00DD5633">
      <w:pPr>
        <w:pStyle w:val="Standard"/>
        <w:jc w:val="both"/>
        <w:rPr>
          <w:rFonts w:hint="eastAsia"/>
        </w:rPr>
      </w:pPr>
      <w:r>
        <w:rPr>
          <w:rFonts w:ascii="Times New Roman" w:hAnsi="Times New Roman" w:cs="Times New Roman"/>
        </w:rPr>
        <w:t>- AOP 007 Proizvedena dugotrajna imovina gotovo je ista početku godine, a tijekom godine došlo je do promjena na:</w:t>
      </w:r>
    </w:p>
    <w:p w:rsidR="00DD5633" w:rsidRDefault="00DD5633" w:rsidP="00DD5633">
      <w:pPr>
        <w:pStyle w:val="Standard"/>
        <w:jc w:val="both"/>
        <w:rPr>
          <w:rFonts w:hint="eastAsia"/>
        </w:rPr>
      </w:pPr>
      <w:r>
        <w:rPr>
          <w:rFonts w:ascii="Times New Roman" w:hAnsi="Times New Roman" w:cs="Times New Roman"/>
        </w:rPr>
        <w:t>- AOP 008 Građevinski objekti, koji su 0,1% veći u odnosu na početak godine. Iznos od 86.418.008 kuna odnosi se na kapitalna ulaganja u gradske stanove iz sredstava od prodaje stanova sa stanarskim pravom, zatim na ulaganja u projektnu dokumentaciju za izgradnju nove športske dvorane, na ulaganja u domove mjesnih odbora, ceste u Sunčanoj i Strossmayerovoj ulici, ulaganja u rekonstrukciju nogostupa i Trga sv. Josipa te ulaganja u izgradnju javne rasvjete na području Grada. Kod Dječjeg vrtića „Zeko” bilježimo kapitalna ulaganja u prostor „Male škole” unutar prostora Dječjeg vrtića „Zeko” Slatina.</w:t>
      </w:r>
    </w:p>
    <w:p w:rsidR="00DD5633" w:rsidRDefault="00DD5633" w:rsidP="00DD5633">
      <w:pPr>
        <w:pStyle w:val="Standard"/>
        <w:jc w:val="both"/>
        <w:rPr>
          <w:rFonts w:hint="eastAsia"/>
        </w:rPr>
      </w:pPr>
      <w:r>
        <w:rPr>
          <w:rFonts w:ascii="Times New Roman" w:hAnsi="Times New Roman" w:cs="Times New Roman"/>
        </w:rPr>
        <w:t>- AOP 014 Postrojenja i oprema, koji su manji 5,7% u odnosu na</w:t>
      </w:r>
      <w:r>
        <w:rPr>
          <w:rFonts w:ascii="Times New Roman" w:hAnsi="Times New Roman" w:cs="Times New Roman"/>
          <w:b/>
        </w:rPr>
        <w:t xml:space="preserve"> </w:t>
      </w:r>
      <w:r>
        <w:rPr>
          <w:rFonts w:ascii="Times New Roman" w:hAnsi="Times New Roman" w:cs="Times New Roman"/>
        </w:rPr>
        <w:t>početak godine.</w:t>
      </w:r>
      <w:r>
        <w:rPr>
          <w:rFonts w:ascii="Times New Roman" w:hAnsi="Times New Roman" w:cs="Times New Roman"/>
          <w:b/>
        </w:rPr>
        <w:t xml:space="preserve"> </w:t>
      </w:r>
      <w:r>
        <w:rPr>
          <w:rFonts w:ascii="Times New Roman" w:hAnsi="Times New Roman" w:cs="Times New Roman"/>
        </w:rPr>
        <w:t>Početkom godine isknjižena je dotrajala uredska oprema i namještaj te komunikacijska oprema po Zapisniku inventurne komisije o uništenju, nabavljena su nova računala, uredski namještaj i ostala uredska oprema, oprema za održavanje zelenih površina u vidu kosilica i trimera za potrebe Grada i mjesnih odbora te komunalni stroj za održavanje javnih površina (ralica) koji je predan tvrtci Slatina kom d.o.o. Slatina na korištenje. Kod proračunskih korisnika ulagalo se u uredsku opremu i namještaj, opremu za ostale namjene, komunikacijsku opremu te opremu za održavanje i zaštitu kod Javne vatrogasne postrojbe Grada Slatine.</w:t>
      </w:r>
    </w:p>
    <w:p w:rsidR="00DD5633" w:rsidRDefault="00DD5633" w:rsidP="00DD5633">
      <w:pPr>
        <w:pStyle w:val="Standard"/>
        <w:jc w:val="both"/>
        <w:rPr>
          <w:rFonts w:hint="eastAsia"/>
        </w:rPr>
      </w:pPr>
      <w:r>
        <w:rPr>
          <w:rFonts w:ascii="Times New Roman" w:hAnsi="Times New Roman" w:cs="Times New Roman"/>
        </w:rPr>
        <w:t>- AOP 024 Prijevozna sredstva, stanje je manje 38%</w:t>
      </w:r>
      <w:r>
        <w:rPr>
          <w:rFonts w:ascii="Times New Roman" w:hAnsi="Times New Roman" w:cs="Times New Roman"/>
          <w:b/>
        </w:rPr>
        <w:t xml:space="preserve"> </w:t>
      </w:r>
      <w:r>
        <w:rPr>
          <w:rFonts w:ascii="Times New Roman" w:hAnsi="Times New Roman" w:cs="Times New Roman"/>
        </w:rPr>
        <w:t>u odnosu na početak godine, a rezultat je provedenog ispravka vrijednosti.</w:t>
      </w:r>
    </w:p>
    <w:p w:rsidR="00DD5633" w:rsidRDefault="00DD5633" w:rsidP="00DD5633">
      <w:pPr>
        <w:pStyle w:val="Standard"/>
        <w:jc w:val="both"/>
        <w:rPr>
          <w:rFonts w:hint="eastAsia"/>
        </w:rPr>
      </w:pPr>
      <w:r>
        <w:rPr>
          <w:rFonts w:ascii="Times New Roman" w:hAnsi="Times New Roman" w:cs="Times New Roman"/>
        </w:rPr>
        <w:t>- AOP 030 Knjige, umjetnička djela i ostale izložbene vrijednosti</w:t>
      </w:r>
      <w:r>
        <w:rPr>
          <w:rFonts w:ascii="Times New Roman" w:hAnsi="Times New Roman" w:cs="Times New Roman"/>
          <w:b/>
        </w:rPr>
        <w:t xml:space="preserve">, </w:t>
      </w:r>
      <w:r>
        <w:rPr>
          <w:rFonts w:ascii="Times New Roman" w:hAnsi="Times New Roman" w:cs="Times New Roman"/>
        </w:rPr>
        <w:t>stanje je</w:t>
      </w:r>
      <w:r>
        <w:rPr>
          <w:rFonts w:ascii="Times New Roman" w:hAnsi="Times New Roman" w:cs="Times New Roman"/>
          <w:b/>
        </w:rPr>
        <w:t xml:space="preserve"> </w:t>
      </w:r>
      <w:r>
        <w:rPr>
          <w:rFonts w:ascii="Times New Roman" w:hAnsi="Times New Roman" w:cs="Times New Roman"/>
        </w:rPr>
        <w:t>35,9</w:t>
      </w:r>
      <w:r>
        <w:rPr>
          <w:rFonts w:ascii="Times New Roman" w:hAnsi="Times New Roman" w:cs="Times New Roman"/>
          <w:b/>
        </w:rPr>
        <w:t xml:space="preserve"> </w:t>
      </w:r>
      <w:r>
        <w:rPr>
          <w:rFonts w:ascii="Times New Roman" w:hAnsi="Times New Roman" w:cs="Times New Roman"/>
        </w:rPr>
        <w:t>% manje u odnosu na početak godine zbog ispravka vrijednosti koji je veći  za 28,5% u odnosu na početak godine.</w:t>
      </w:r>
    </w:p>
    <w:p w:rsidR="00DD5633" w:rsidRDefault="00DD5633" w:rsidP="00DD5633">
      <w:pPr>
        <w:pStyle w:val="Standard"/>
        <w:jc w:val="both"/>
        <w:rPr>
          <w:rFonts w:ascii="Times New Roman" w:hAnsi="Times New Roman" w:cs="Times New Roman"/>
        </w:rPr>
      </w:pPr>
      <w:r>
        <w:rPr>
          <w:rFonts w:ascii="Times New Roman" w:hAnsi="Times New Roman" w:cs="Times New Roman"/>
        </w:rPr>
        <w:t xml:space="preserve">- AOP  040 Nematerijalna proizvedena imovina, ostvarena je 41,7% više u odnosu na početak godine kao rezultat ulaganja u projektnu dokumentaciju za cestu </w:t>
      </w:r>
      <w:proofErr w:type="spellStart"/>
      <w:r>
        <w:rPr>
          <w:rFonts w:ascii="Times New Roman" w:hAnsi="Times New Roman" w:cs="Times New Roman"/>
        </w:rPr>
        <w:t>Golenić</w:t>
      </w:r>
      <w:proofErr w:type="spellEnd"/>
      <w:r>
        <w:rPr>
          <w:rFonts w:ascii="Times New Roman" w:hAnsi="Times New Roman" w:cs="Times New Roman"/>
        </w:rPr>
        <w:t xml:space="preserve">, elaborat širokopojasnog </w:t>
      </w:r>
      <w:proofErr w:type="spellStart"/>
      <w:r>
        <w:rPr>
          <w:rFonts w:ascii="Times New Roman" w:hAnsi="Times New Roman" w:cs="Times New Roman"/>
        </w:rPr>
        <w:t>interneta</w:t>
      </w:r>
      <w:proofErr w:type="spellEnd"/>
      <w:r>
        <w:rPr>
          <w:rFonts w:ascii="Times New Roman" w:hAnsi="Times New Roman" w:cs="Times New Roman"/>
        </w:rPr>
        <w:t>, projekte ceste i javne rasvjete na području proizvodne zone „Turbina”, Plan zaštite na radu i Plan zaštite i spašavanja te projektnu dokumentaciju za kandidirane projekte.</w:t>
      </w:r>
    </w:p>
    <w:p w:rsidR="00DD5633" w:rsidRDefault="00DD4CED" w:rsidP="00DD4CED">
      <w:pPr>
        <w:pStyle w:val="Standard"/>
        <w:jc w:val="both"/>
        <w:rPr>
          <w:rFonts w:ascii="Times New Roman" w:hAnsi="Times New Roman" w:cs="Times New Roman"/>
        </w:rPr>
      </w:pPr>
      <w:r>
        <w:rPr>
          <w:rFonts w:ascii="Times New Roman" w:hAnsi="Times New Roman" w:cs="Times New Roman"/>
        </w:rPr>
        <w:t xml:space="preserve">- </w:t>
      </w:r>
      <w:r w:rsidR="00DD5633">
        <w:rPr>
          <w:rFonts w:ascii="Times New Roman" w:hAnsi="Times New Roman" w:cs="Times New Roman"/>
        </w:rPr>
        <w:t>AOP 049 Sitan inventar u upotrebi ostvaren je 2,9% više u odnosu na početak godine zbog nabave novog sitnog inventara.</w:t>
      </w:r>
    </w:p>
    <w:p w:rsidR="00DD5633" w:rsidRDefault="00DD4CED" w:rsidP="00DD4CED">
      <w:pPr>
        <w:pStyle w:val="Standard"/>
        <w:jc w:val="both"/>
        <w:rPr>
          <w:rFonts w:hint="eastAsia"/>
        </w:rPr>
      </w:pPr>
      <w:r>
        <w:rPr>
          <w:rFonts w:ascii="Times New Roman" w:hAnsi="Times New Roman" w:cs="Times New Roman"/>
        </w:rPr>
        <w:t xml:space="preserve">- </w:t>
      </w:r>
      <w:r w:rsidR="00DD5633">
        <w:rPr>
          <w:rFonts w:ascii="Times New Roman" w:hAnsi="Times New Roman" w:cs="Times New Roman"/>
        </w:rPr>
        <w:t>AOP 051 Dugotrajna nefinancijska imovina u pripremi, stanje je 7,4% manje u odnosu na početak godine, a rezultat je ulaganja u izgradnju poduzetničke zone Turbina 3, projektiranja ceste B. Jelačića u Slatini, troškove legalizacije građevinskih objekata, projekt spojne ceste B. Radić i sv. M. Križevčanina te izradu prometne studije za područje Grada.</w:t>
      </w:r>
    </w:p>
    <w:p w:rsidR="00DD5633" w:rsidRDefault="00DD5633" w:rsidP="00DD5633">
      <w:pPr>
        <w:pStyle w:val="Standard"/>
        <w:jc w:val="both"/>
        <w:rPr>
          <w:rFonts w:hint="eastAsia"/>
        </w:rPr>
      </w:pPr>
      <w:r>
        <w:rPr>
          <w:rFonts w:ascii="Times New Roman" w:hAnsi="Times New Roman" w:cs="Times New Roman"/>
        </w:rPr>
        <w:t xml:space="preserve">- </w:t>
      </w:r>
      <w:r>
        <w:rPr>
          <w:rFonts w:ascii="Times New Roman" w:hAnsi="Times New Roman" w:cs="Times New Roman"/>
          <w:b/>
        </w:rPr>
        <w:t>AOP 063 Financijska imovina</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 stanje je 2,</w:t>
      </w:r>
      <w:r w:rsidR="00DD4CED">
        <w:rPr>
          <w:rFonts w:ascii="Times New Roman" w:hAnsi="Times New Roman" w:cs="Times New Roman"/>
        </w:rPr>
        <w:t>6</w:t>
      </w:r>
      <w:r>
        <w:rPr>
          <w:rFonts w:ascii="Times New Roman" w:hAnsi="Times New Roman" w:cs="Times New Roman"/>
        </w:rPr>
        <w:t>% više nego početkom godine, zbog većeg iznosa novčanih sredstava na računima u banci i većih potraživanja u odnosu na početak godine. Promjene koje su utjecale na financijsku imovine evidentirane su na:</w:t>
      </w:r>
    </w:p>
    <w:p w:rsidR="00DD5633" w:rsidRDefault="00DD5633" w:rsidP="00DD5633">
      <w:pPr>
        <w:pStyle w:val="Standard"/>
        <w:numPr>
          <w:ilvl w:val="0"/>
          <w:numId w:val="12"/>
        </w:numPr>
        <w:jc w:val="both"/>
        <w:rPr>
          <w:rFonts w:hint="eastAsia"/>
        </w:rPr>
      </w:pPr>
      <w:r>
        <w:rPr>
          <w:rFonts w:ascii="Times New Roman" w:hAnsi="Times New Roman" w:cs="Times New Roman"/>
        </w:rPr>
        <w:lastRenderedPageBreak/>
        <w:t xml:space="preserve">AOP 064 Novac u banci i blagajni - stanje novčanih sredstava krajem godine veće je za 3,4 % u odnosu na početak godine. </w:t>
      </w:r>
      <w:r>
        <w:rPr>
          <w:rFonts w:ascii="Times New Roman" w:hAnsi="Times New Roman" w:cs="Times New Roman"/>
          <w:lang w:val="es-ES"/>
        </w:rPr>
        <w:t>Poslovanje</w:t>
      </w:r>
      <w:r>
        <w:rPr>
          <w:rFonts w:ascii="Times New Roman" w:hAnsi="Times New Roman" w:cs="Times New Roman"/>
        </w:rPr>
        <w:t xml:space="preserve"> </w:t>
      </w:r>
      <w:r>
        <w:rPr>
          <w:rFonts w:ascii="Times New Roman" w:hAnsi="Times New Roman" w:cs="Times New Roman"/>
          <w:lang w:val="es-ES"/>
        </w:rPr>
        <w:t>Grada</w:t>
      </w:r>
      <w:r>
        <w:rPr>
          <w:rFonts w:ascii="Times New Roman" w:hAnsi="Times New Roman" w:cs="Times New Roman"/>
        </w:rPr>
        <w:t xml:space="preserve"> </w:t>
      </w:r>
      <w:r>
        <w:rPr>
          <w:rFonts w:ascii="Times New Roman" w:hAnsi="Times New Roman" w:cs="Times New Roman"/>
          <w:lang w:val="es-ES"/>
        </w:rPr>
        <w:t>Slatine</w:t>
      </w:r>
      <w:r>
        <w:rPr>
          <w:rFonts w:ascii="Times New Roman" w:hAnsi="Times New Roman" w:cs="Times New Roman"/>
        </w:rPr>
        <w:t xml:space="preserve"> </w:t>
      </w:r>
      <w:r>
        <w:rPr>
          <w:rFonts w:ascii="Times New Roman" w:hAnsi="Times New Roman" w:cs="Times New Roman"/>
          <w:lang w:val="es-ES"/>
        </w:rPr>
        <w:t xml:space="preserve">obavljalo se putem redovnog </w:t>
      </w:r>
      <w:r>
        <w:rPr>
          <w:rFonts w:ascii="Times New Roman" w:hAnsi="Times New Roman" w:cs="Times New Roman"/>
        </w:rPr>
        <w:t xml:space="preserve">IBAN </w:t>
      </w:r>
      <w:r>
        <w:rPr>
          <w:rFonts w:ascii="Times New Roman" w:hAnsi="Times New Roman" w:cs="Times New Roman"/>
          <w:lang w:val="es-ES"/>
        </w:rPr>
        <w:t>ra</w:t>
      </w:r>
      <w:r>
        <w:rPr>
          <w:rFonts w:ascii="Times New Roman" w:hAnsi="Times New Roman" w:cs="Times New Roman"/>
        </w:rPr>
        <w:t>č</w:t>
      </w:r>
      <w:r>
        <w:rPr>
          <w:rFonts w:ascii="Times New Roman" w:hAnsi="Times New Roman" w:cs="Times New Roman"/>
          <w:lang w:val="es-ES"/>
        </w:rPr>
        <w:t>una</w:t>
      </w:r>
      <w:r>
        <w:rPr>
          <w:rFonts w:ascii="Times New Roman" w:hAnsi="Times New Roman" w:cs="Times New Roman"/>
        </w:rPr>
        <w:t xml:space="preserve"> </w:t>
      </w:r>
      <w:r>
        <w:rPr>
          <w:rFonts w:ascii="Times New Roman" w:hAnsi="Times New Roman" w:cs="Times New Roman"/>
          <w:lang w:val="es-ES"/>
        </w:rPr>
        <w:t>broj</w:t>
      </w:r>
      <w:r>
        <w:rPr>
          <w:rFonts w:ascii="Times New Roman" w:hAnsi="Times New Roman" w:cs="Times New Roman"/>
        </w:rPr>
        <w:t xml:space="preserve"> HR6324120091839500001, </w:t>
      </w:r>
      <w:r>
        <w:rPr>
          <w:rFonts w:ascii="Times New Roman" w:hAnsi="Times New Roman" w:cs="Times New Roman"/>
          <w:lang w:val="es-ES"/>
        </w:rPr>
        <w:t>otvorenog</w:t>
      </w:r>
      <w:r>
        <w:rPr>
          <w:rFonts w:ascii="Times New Roman" w:hAnsi="Times New Roman" w:cs="Times New Roman"/>
        </w:rPr>
        <w:t xml:space="preserve"> </w:t>
      </w:r>
      <w:r>
        <w:rPr>
          <w:rFonts w:ascii="Times New Roman" w:hAnsi="Times New Roman" w:cs="Times New Roman"/>
          <w:lang w:val="es-ES"/>
        </w:rPr>
        <w:t>kod</w:t>
      </w:r>
      <w:r>
        <w:rPr>
          <w:rFonts w:ascii="Times New Roman" w:hAnsi="Times New Roman" w:cs="Times New Roman"/>
        </w:rPr>
        <w:t xml:space="preserve"> </w:t>
      </w:r>
      <w:r>
        <w:rPr>
          <w:rFonts w:ascii="Times New Roman" w:hAnsi="Times New Roman" w:cs="Times New Roman"/>
          <w:lang w:val="es-ES"/>
        </w:rPr>
        <w:t>Slatinske</w:t>
      </w:r>
      <w:r>
        <w:rPr>
          <w:rFonts w:ascii="Times New Roman" w:hAnsi="Times New Roman" w:cs="Times New Roman"/>
        </w:rPr>
        <w:t xml:space="preserve"> </w:t>
      </w:r>
      <w:r>
        <w:rPr>
          <w:rFonts w:ascii="Times New Roman" w:hAnsi="Times New Roman" w:cs="Times New Roman"/>
          <w:lang w:val="es-ES"/>
        </w:rPr>
        <w:t>banke</w:t>
      </w:r>
      <w:r>
        <w:rPr>
          <w:rFonts w:ascii="Times New Roman" w:hAnsi="Times New Roman" w:cs="Times New Roman"/>
        </w:rPr>
        <w:t xml:space="preserve"> </w:t>
      </w:r>
      <w:r>
        <w:rPr>
          <w:rFonts w:ascii="Times New Roman" w:hAnsi="Times New Roman" w:cs="Times New Roman"/>
          <w:lang w:val="es-ES"/>
        </w:rPr>
        <w:t>d</w:t>
      </w:r>
      <w:r>
        <w:rPr>
          <w:rFonts w:ascii="Times New Roman" w:hAnsi="Times New Roman" w:cs="Times New Roman"/>
        </w:rPr>
        <w:t>.</w:t>
      </w:r>
      <w:r>
        <w:rPr>
          <w:rFonts w:ascii="Times New Roman" w:hAnsi="Times New Roman" w:cs="Times New Roman"/>
          <w:lang w:val="es-ES"/>
        </w:rPr>
        <w:t>d</w:t>
      </w:r>
      <w:r>
        <w:rPr>
          <w:rFonts w:ascii="Times New Roman" w:hAnsi="Times New Roman" w:cs="Times New Roman"/>
        </w:rPr>
        <w:t xml:space="preserve">. Slatina.  Poseban pod račun za praćenje uplaćenih sredstava za komunalnu i vodnu naknadu otvoren je 2.12.2011. godine broj HR6524120091520000201. </w:t>
      </w:r>
      <w:r>
        <w:rPr>
          <w:rFonts w:ascii="Times New Roman" w:hAnsi="Times New Roman" w:cs="Times New Roman"/>
          <w:lang w:val="pl-PL"/>
        </w:rPr>
        <w:t>Stanje žiro računa proračuna Grada Slatine sa podračunima i proračunskim korisnicima početkom godine iznosilo je 1.805.066 kuna, a na dan 31. prosinca 2017. iznosilo je 1.866.405 kuna.</w:t>
      </w:r>
    </w:p>
    <w:p w:rsidR="00DD5633" w:rsidRDefault="00DD5633" w:rsidP="00DD5633">
      <w:pPr>
        <w:pStyle w:val="Standard"/>
        <w:numPr>
          <w:ilvl w:val="0"/>
          <w:numId w:val="12"/>
        </w:numPr>
        <w:jc w:val="both"/>
        <w:rPr>
          <w:rFonts w:hint="eastAsia"/>
        </w:rPr>
      </w:pPr>
      <w:r>
        <w:rPr>
          <w:rFonts w:ascii="Times New Roman" w:hAnsi="Times New Roman" w:cs="Times New Roman"/>
        </w:rPr>
        <w:t xml:space="preserve">AOP 073 Depoziti, </w:t>
      </w:r>
      <w:proofErr w:type="spellStart"/>
      <w:r>
        <w:rPr>
          <w:rFonts w:ascii="Times New Roman" w:hAnsi="Times New Roman" w:cs="Times New Roman"/>
        </w:rPr>
        <w:t>jamčevni</w:t>
      </w:r>
      <w:proofErr w:type="spellEnd"/>
      <w:r>
        <w:rPr>
          <w:rFonts w:ascii="Times New Roman" w:hAnsi="Times New Roman" w:cs="Times New Roman"/>
        </w:rPr>
        <w:t xml:space="preserve"> </w:t>
      </w:r>
      <w:proofErr w:type="spellStart"/>
      <w:r>
        <w:rPr>
          <w:rFonts w:ascii="Times New Roman" w:hAnsi="Times New Roman" w:cs="Times New Roman"/>
        </w:rPr>
        <w:t>polozi</w:t>
      </w:r>
      <w:proofErr w:type="spellEnd"/>
      <w:r>
        <w:rPr>
          <w:rFonts w:ascii="Times New Roman" w:hAnsi="Times New Roman" w:cs="Times New Roman"/>
        </w:rPr>
        <w:t xml:space="preserve">  i potraživanja od zaposlenih te za više plaćene poreze i ostalo</w:t>
      </w:r>
      <w:r>
        <w:rPr>
          <w:rFonts w:ascii="Times New Roman" w:hAnsi="Times New Roman" w:cs="Times New Roman"/>
          <w:b/>
        </w:rPr>
        <w:t xml:space="preserve"> </w:t>
      </w:r>
      <w:r>
        <w:rPr>
          <w:rFonts w:ascii="Times New Roman" w:hAnsi="Times New Roman" w:cs="Times New Roman"/>
        </w:rPr>
        <w:t xml:space="preserve">– stanje je 774,2% više  u odnosu na početak godine zbog dospjelog potraživanja po </w:t>
      </w:r>
      <w:proofErr w:type="spellStart"/>
      <w:r>
        <w:rPr>
          <w:rFonts w:ascii="Times New Roman" w:hAnsi="Times New Roman" w:cs="Times New Roman"/>
        </w:rPr>
        <w:t>Izvansudskoj</w:t>
      </w:r>
      <w:proofErr w:type="spellEnd"/>
      <w:r>
        <w:rPr>
          <w:rFonts w:ascii="Times New Roman" w:hAnsi="Times New Roman" w:cs="Times New Roman"/>
        </w:rPr>
        <w:t xml:space="preserve"> nagodbi sa tvrtkom </w:t>
      </w:r>
      <w:proofErr w:type="spellStart"/>
      <w:r>
        <w:rPr>
          <w:rFonts w:ascii="Times New Roman" w:hAnsi="Times New Roman" w:cs="Times New Roman"/>
        </w:rPr>
        <w:t>Trium</w:t>
      </w:r>
      <w:proofErr w:type="spellEnd"/>
      <w:r>
        <w:rPr>
          <w:rFonts w:ascii="Times New Roman" w:hAnsi="Times New Roman" w:cs="Times New Roman"/>
        </w:rPr>
        <w:t xml:space="preserve"> d.o.o., na iznos od 1.837.250,00 kuna, kojoj smo prodali osnivački udio u tvrtci </w:t>
      </w:r>
      <w:proofErr w:type="spellStart"/>
      <w:r>
        <w:rPr>
          <w:rFonts w:ascii="Times New Roman" w:hAnsi="Times New Roman" w:cs="Times New Roman"/>
        </w:rPr>
        <w:t>Miscantus</w:t>
      </w:r>
      <w:proofErr w:type="spellEnd"/>
      <w:r>
        <w:rPr>
          <w:rFonts w:ascii="Times New Roman" w:hAnsi="Times New Roman" w:cs="Times New Roman"/>
        </w:rPr>
        <w:t xml:space="preserve"> d.o.o., 2013. godine, a koji su za to potraživanje dostavili instrumente osiguranja plaćanja, nakon što su 2013. uplatili dio svoje obveze u visini 1.092.750,00 kuna.</w:t>
      </w:r>
    </w:p>
    <w:p w:rsidR="00DD5633" w:rsidRDefault="00DD5633" w:rsidP="00DD5633">
      <w:pPr>
        <w:pStyle w:val="Standard"/>
        <w:numPr>
          <w:ilvl w:val="0"/>
          <w:numId w:val="12"/>
        </w:numPr>
        <w:jc w:val="both"/>
        <w:rPr>
          <w:rFonts w:hint="eastAsia"/>
        </w:rPr>
      </w:pPr>
      <w:r>
        <w:rPr>
          <w:rFonts w:ascii="Times New Roman" w:hAnsi="Times New Roman" w:cs="Times New Roman"/>
        </w:rPr>
        <w:t>AOP 081 Potraživanja za dane zajmove, nema usporednih podataka zato što je za sredstva  aktiviranog garantnog depozita po Programu poduzetnik u visini 415.348,47 kuna, proveden ispravak vrijednosti po Odluci o usvajanju inventurnog elaborata za 2017. godinu.</w:t>
      </w:r>
    </w:p>
    <w:p w:rsidR="00DD5633" w:rsidRDefault="00DD5633" w:rsidP="00DD5633">
      <w:pPr>
        <w:pStyle w:val="Standard"/>
        <w:numPr>
          <w:ilvl w:val="0"/>
          <w:numId w:val="12"/>
        </w:numPr>
        <w:jc w:val="both"/>
        <w:rPr>
          <w:rFonts w:hint="eastAsia"/>
        </w:rPr>
      </w:pPr>
      <w:r>
        <w:rPr>
          <w:rFonts w:ascii="Times New Roman" w:hAnsi="Times New Roman" w:cs="Times New Roman"/>
        </w:rPr>
        <w:t xml:space="preserve">AOP 128 Dionice i udjeli u glavnici – stanje krajem godine je 0,2% više u odnosu na početak godine zbog uplaćenog, a neupisanog poslovnog udjela u tvrtci </w:t>
      </w:r>
      <w:proofErr w:type="spellStart"/>
      <w:r>
        <w:rPr>
          <w:rFonts w:ascii="Times New Roman" w:hAnsi="Times New Roman" w:cs="Times New Roman"/>
        </w:rPr>
        <w:t>Komrad</w:t>
      </w:r>
      <w:proofErr w:type="spellEnd"/>
      <w:r>
        <w:rPr>
          <w:rFonts w:ascii="Times New Roman" w:hAnsi="Times New Roman" w:cs="Times New Roman"/>
        </w:rPr>
        <w:t xml:space="preserve"> d.o.o. Slatina u visini 84.696,33 kune, uz istovremeno </w:t>
      </w:r>
      <w:proofErr w:type="spellStart"/>
      <w:r>
        <w:rPr>
          <w:rFonts w:ascii="Times New Roman" w:hAnsi="Times New Roman" w:cs="Times New Roman"/>
        </w:rPr>
        <w:t>isknjiženje</w:t>
      </w:r>
      <w:proofErr w:type="spellEnd"/>
      <w:r>
        <w:rPr>
          <w:rFonts w:ascii="Times New Roman" w:hAnsi="Times New Roman" w:cs="Times New Roman"/>
        </w:rPr>
        <w:t xml:space="preserve"> poslovnih udjela po Odluci Gradonačelnika i Gradskog vijeća Grada Slatine tijekom 2017. godine za osnivački udjel  u tvrtkama, brisanim iz Sudskog registra i to: tvrtke Športski objekti d.o.o i tvrtke </w:t>
      </w:r>
      <w:proofErr w:type="spellStart"/>
      <w:r>
        <w:rPr>
          <w:rFonts w:ascii="Times New Roman" w:hAnsi="Times New Roman" w:cs="Times New Roman"/>
        </w:rPr>
        <w:t>Geostlatina</w:t>
      </w:r>
      <w:proofErr w:type="spellEnd"/>
      <w:r>
        <w:rPr>
          <w:rFonts w:ascii="Times New Roman" w:hAnsi="Times New Roman" w:cs="Times New Roman"/>
        </w:rPr>
        <w:t xml:space="preserve"> d.o.o. , koji  su krajem godine 2016 .godine i bili evidentirani kao ispravak vrijednosti po Odluci o usvojenom I</w:t>
      </w:r>
      <w:r>
        <w:rPr>
          <w:rFonts w:ascii="Times New Roman" w:hAnsi="Times New Roman" w:cs="Times New Roman" w:hint="eastAsia"/>
        </w:rPr>
        <w:t>n</w:t>
      </w:r>
      <w:r>
        <w:rPr>
          <w:rFonts w:ascii="Times New Roman" w:hAnsi="Times New Roman" w:cs="Times New Roman"/>
        </w:rPr>
        <w:t>venturnom elaboratu za 2016. godinu.</w:t>
      </w:r>
    </w:p>
    <w:p w:rsidR="00DD5633" w:rsidRDefault="00DD5633" w:rsidP="00DD5633">
      <w:pPr>
        <w:pStyle w:val="Standard"/>
        <w:numPr>
          <w:ilvl w:val="0"/>
          <w:numId w:val="12"/>
        </w:numPr>
        <w:jc w:val="both"/>
        <w:rPr>
          <w:rFonts w:hint="eastAsia"/>
        </w:rPr>
      </w:pPr>
      <w:r>
        <w:rPr>
          <w:rFonts w:ascii="Times New Roman" w:hAnsi="Times New Roman" w:cs="Times New Roman"/>
        </w:rPr>
        <w:t>AOP 140 Potraživanja za prihode poslovanja</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stanje krajem godine veće je 2</w:t>
      </w:r>
      <w:r w:rsidR="00554EF5">
        <w:rPr>
          <w:rFonts w:ascii="Times New Roman" w:hAnsi="Times New Roman" w:cs="Times New Roman"/>
        </w:rPr>
        <w:t>1</w:t>
      </w:r>
      <w:r>
        <w:rPr>
          <w:rFonts w:ascii="Times New Roman" w:hAnsi="Times New Roman" w:cs="Times New Roman"/>
        </w:rPr>
        <w:t>,</w:t>
      </w:r>
      <w:r w:rsidR="00554EF5">
        <w:rPr>
          <w:rFonts w:ascii="Times New Roman" w:hAnsi="Times New Roman" w:cs="Times New Roman"/>
        </w:rPr>
        <w:t>6</w:t>
      </w:r>
      <w:r>
        <w:rPr>
          <w:rFonts w:ascii="Times New Roman" w:hAnsi="Times New Roman" w:cs="Times New Roman"/>
        </w:rPr>
        <w:t xml:space="preserve"> % u odnosu na početak godine. Tijekom godine poduzimane su mjere naplate za sve gradske prihode. Potraživanja za prihode poslovanja evidentirana su na:</w:t>
      </w:r>
    </w:p>
    <w:p w:rsidR="00DD5633" w:rsidRDefault="00DD5633" w:rsidP="00DD5633">
      <w:pPr>
        <w:pStyle w:val="Standard"/>
        <w:jc w:val="both"/>
        <w:rPr>
          <w:rFonts w:hint="eastAsia"/>
        </w:rPr>
      </w:pPr>
      <w:r>
        <w:rPr>
          <w:rFonts w:ascii="Times New Roman" w:hAnsi="Times New Roman" w:cs="Times New Roman"/>
        </w:rPr>
        <w:t>- AOP 141 Potraživanja za poreze, evidentirana su u visini 1.136.029,44 kune i veća su 20,2% u odnosu na početak godine. U ovoj skupini evidentirano je potraživanje za porez na potrošnju alkoholnih i bezalkoholnih pića, čija je naplata u nadležnosti Porezne uprave i krajem godine iznosi 277.274,94 kune. Dospjela potraživanja za poreze čija je naplata u nadležnosti Grada evidentirana su krajem godine, za porez na korištenje javnih površina u visini 65.503,15 kuna, porez na kuće za odmor u visini 4.623,43 kune, porez na promet nekretnina u iznosu od 594.666,13 kuna, porez na tvrtku u visini 192.983,22 kune te nedospjelo potraživanje za porez na tvrtku u iznosu od 978,57 kuna.</w:t>
      </w:r>
    </w:p>
    <w:p w:rsidR="00DD5633" w:rsidRDefault="00DD5633" w:rsidP="00DD5633">
      <w:pPr>
        <w:pStyle w:val="Standard"/>
        <w:jc w:val="both"/>
        <w:rPr>
          <w:rFonts w:hint="eastAsia"/>
        </w:rPr>
      </w:pPr>
      <w:r>
        <w:rPr>
          <w:rFonts w:ascii="Times New Roman" w:hAnsi="Times New Roman" w:cs="Times New Roman"/>
        </w:rPr>
        <w:t>- AOP 151 Potraživanja za prihode od imovine evidentirana su u visini 1.843.235,12 kuna i veća su 22,1% u odnosu na početak godine, a odnose se na dospjela potraživanja:</w:t>
      </w:r>
    </w:p>
    <w:p w:rsidR="00DD5633" w:rsidRDefault="00DD5633" w:rsidP="00DD5633">
      <w:pPr>
        <w:pStyle w:val="Standard"/>
        <w:numPr>
          <w:ilvl w:val="0"/>
          <w:numId w:val="7"/>
        </w:numPr>
        <w:jc w:val="both"/>
        <w:rPr>
          <w:rFonts w:hint="eastAsia"/>
        </w:rPr>
      </w:pPr>
      <w:r>
        <w:rPr>
          <w:rFonts w:ascii="Times New Roman" w:hAnsi="Times New Roman" w:cs="Times New Roman"/>
        </w:rPr>
        <w:t>za dane koncesije u visini 172.424,15 kuna,</w:t>
      </w:r>
    </w:p>
    <w:p w:rsidR="00DD5633" w:rsidRDefault="00DD5633" w:rsidP="00DD5633">
      <w:pPr>
        <w:pStyle w:val="Standard"/>
        <w:numPr>
          <w:ilvl w:val="0"/>
          <w:numId w:val="7"/>
        </w:numPr>
        <w:jc w:val="both"/>
        <w:rPr>
          <w:rFonts w:hint="eastAsia"/>
        </w:rPr>
      </w:pPr>
      <w:r>
        <w:rPr>
          <w:rFonts w:ascii="Times New Roman" w:hAnsi="Times New Roman" w:cs="Times New Roman"/>
        </w:rPr>
        <w:t>od zakupa i iznajmljivanja imovine u visini od  1.306.812,76 kuna i to: za zakup nekretnina u visini od 900,00 kuna, za zakup zemljišta u vlasništvu Grada u visini 258.376,67  kuna, za zakup zemljišta u vlasništvu RH 901.426,64 kune, za najam stanova u vlasništvu Grada u visini 131.149,36 kuna, za najam poslovnog prostora u vlasništvu Grada u visini 4.674,08 kuna, za naknadu za upotrebu javnih gradskih površina u visini 43,30 kuna te za najam garaža 10.242,71 kuna,</w:t>
      </w:r>
    </w:p>
    <w:p w:rsidR="00DD5633" w:rsidRDefault="00DD5633" w:rsidP="00DD5633">
      <w:pPr>
        <w:pStyle w:val="Standard"/>
        <w:numPr>
          <w:ilvl w:val="0"/>
          <w:numId w:val="7"/>
        </w:numPr>
        <w:jc w:val="both"/>
        <w:rPr>
          <w:rFonts w:hint="eastAsia"/>
        </w:rPr>
      </w:pPr>
      <w:r>
        <w:rPr>
          <w:rFonts w:ascii="Times New Roman" w:hAnsi="Times New Roman" w:cs="Times New Roman"/>
        </w:rPr>
        <w:t>za naknade za korištenje nefinancijske imovine u visini od 240.124,80 kuna i to: za naplatu parkiranja u visini 215.460,00 kuna i za eksploataciju mineralnih sirovina u visini 23.266,67 kuna te nedospjelo potraživanje za eksploataciju mineralnih sirovina u visini od 1.398,13 kuna,</w:t>
      </w:r>
    </w:p>
    <w:p w:rsidR="00DD5633" w:rsidRDefault="00DD5633" w:rsidP="00DD5633">
      <w:pPr>
        <w:pStyle w:val="Standard"/>
        <w:numPr>
          <w:ilvl w:val="0"/>
          <w:numId w:val="7"/>
        </w:numPr>
        <w:jc w:val="both"/>
        <w:rPr>
          <w:rFonts w:hint="eastAsia"/>
        </w:rPr>
      </w:pPr>
      <w:r>
        <w:rPr>
          <w:rFonts w:ascii="Times New Roman" w:hAnsi="Times New Roman" w:cs="Times New Roman"/>
        </w:rPr>
        <w:t>za naknadu za nezakonito izgrađene zgrade u prostoru u visini 123.873,41 kunu.</w:t>
      </w:r>
    </w:p>
    <w:p w:rsidR="00DD5633" w:rsidRDefault="00DD5633" w:rsidP="00DD5633">
      <w:pPr>
        <w:pStyle w:val="Standard"/>
        <w:jc w:val="both"/>
        <w:rPr>
          <w:rFonts w:hint="eastAsia"/>
        </w:rPr>
      </w:pPr>
      <w:r>
        <w:rPr>
          <w:rFonts w:ascii="Times New Roman" w:hAnsi="Times New Roman" w:cs="Times New Roman"/>
        </w:rPr>
        <w:lastRenderedPageBreak/>
        <w:t>- AOP 152 Potraživanja za upravne i administrativne pristojbe, pristojbe po posebnim propisima i naknade evidentirana su u visini od 15.962.050 kuna i manja su 4,6% u odnosu na početak godine, a odnose se na dospjela potraživanja za:</w:t>
      </w:r>
    </w:p>
    <w:p w:rsidR="00DD5633" w:rsidRDefault="00DD5633" w:rsidP="00DD5633">
      <w:pPr>
        <w:pStyle w:val="Standard"/>
        <w:numPr>
          <w:ilvl w:val="0"/>
          <w:numId w:val="5"/>
        </w:numPr>
        <w:jc w:val="both"/>
        <w:rPr>
          <w:rFonts w:hint="eastAsia"/>
        </w:rPr>
      </w:pPr>
      <w:r>
        <w:rPr>
          <w:rFonts w:ascii="Times New Roman" w:hAnsi="Times New Roman" w:cs="Times New Roman"/>
        </w:rPr>
        <w:t>Prihode vodnog gospodarstva u visini od  4.730.156,41 kunu, a sastoje se od potraživanja za naknadu za uređenje voda koja nije prihod Grada Slatine već Hrvatskih voda u visini 4.694.884,00 kune, potraživanja za naknadu za uređenje voda nedospjelo u visini od 21.404,99 kuna, potraživanja za troškova naplate naknade za uređenje voda u visini od 9.134,34 kune te potraživanja za 8% vodnog doprinosa od Hrvatskih voda u visini od 4.733,08 kuna,</w:t>
      </w:r>
    </w:p>
    <w:p w:rsidR="00DD5633" w:rsidRDefault="00DD5633" w:rsidP="00DD5633">
      <w:pPr>
        <w:pStyle w:val="Standard"/>
        <w:numPr>
          <w:ilvl w:val="0"/>
          <w:numId w:val="5"/>
        </w:numPr>
        <w:jc w:val="both"/>
        <w:rPr>
          <w:rFonts w:hint="eastAsia"/>
        </w:rPr>
      </w:pPr>
      <w:r>
        <w:rPr>
          <w:rFonts w:ascii="Times New Roman" w:hAnsi="Times New Roman" w:cs="Times New Roman"/>
        </w:rPr>
        <w:t>Prihode za doprinos za šume u visini od 321.891,82 kune,</w:t>
      </w:r>
    </w:p>
    <w:p w:rsidR="00DD5633" w:rsidRDefault="00DD5633" w:rsidP="00DD5633">
      <w:pPr>
        <w:pStyle w:val="Standard"/>
        <w:numPr>
          <w:ilvl w:val="0"/>
          <w:numId w:val="5"/>
        </w:numPr>
        <w:jc w:val="both"/>
        <w:rPr>
          <w:rFonts w:hint="eastAsia"/>
        </w:rPr>
      </w:pPr>
      <w:r>
        <w:rPr>
          <w:rFonts w:ascii="Times New Roman" w:hAnsi="Times New Roman" w:cs="Times New Roman"/>
        </w:rPr>
        <w:t xml:space="preserve">Ostale nespomenute prihode u visini od 350.723,99 kuna, a koji se sastoje od potraživanja refundaciju materijalnih troškova od tvrtke </w:t>
      </w:r>
      <w:proofErr w:type="spellStart"/>
      <w:r>
        <w:rPr>
          <w:rFonts w:ascii="Times New Roman" w:hAnsi="Times New Roman" w:cs="Times New Roman"/>
        </w:rPr>
        <w:t>Komrad</w:t>
      </w:r>
      <w:proofErr w:type="spellEnd"/>
      <w:r>
        <w:rPr>
          <w:rFonts w:ascii="Times New Roman" w:hAnsi="Times New Roman" w:cs="Times New Roman"/>
        </w:rPr>
        <w:t xml:space="preserve"> d.o.o. Slatina u visini od 7.209,56 kuna i Glazbene škole M. Kelemen Slatina u visini od 9.454,12 kuna te potraživanja za povrate stipendija u visini od 334.060,31 kunu,</w:t>
      </w:r>
    </w:p>
    <w:p w:rsidR="00DD5633" w:rsidRDefault="00DD5633" w:rsidP="00DD5633">
      <w:pPr>
        <w:pStyle w:val="Standard"/>
        <w:numPr>
          <w:ilvl w:val="0"/>
          <w:numId w:val="5"/>
        </w:numPr>
        <w:jc w:val="both"/>
        <w:rPr>
          <w:rFonts w:hint="eastAsia"/>
        </w:rPr>
      </w:pPr>
      <w:r>
        <w:rPr>
          <w:rFonts w:ascii="Times New Roman" w:hAnsi="Times New Roman" w:cs="Times New Roman"/>
        </w:rPr>
        <w:t>Komunalni doprinos u visini od 3.106.536,35 kuna, komunalni doprinos 2.884.631,55 kuna te nedospjelo potraživanje za komunalni doprinos u visini od 221.904,80 kuna,</w:t>
      </w:r>
    </w:p>
    <w:p w:rsidR="00DD5633" w:rsidRDefault="00DD5633" w:rsidP="00DD5633">
      <w:pPr>
        <w:pStyle w:val="Standard"/>
        <w:numPr>
          <w:ilvl w:val="0"/>
          <w:numId w:val="5"/>
        </w:numPr>
        <w:jc w:val="both"/>
        <w:rPr>
          <w:rFonts w:hint="eastAsia"/>
        </w:rPr>
      </w:pPr>
      <w:r>
        <w:rPr>
          <w:rFonts w:ascii="Times New Roman" w:hAnsi="Times New Roman" w:cs="Times New Roman"/>
        </w:rPr>
        <w:t>Komunalnu naknadu u visini 7.190.387,81 kunu,  komunalne naknade 7.168.340,47 kuna te komunalne naknade nedospjela potraživanja u iznosu od 22.047,34 kune,</w:t>
      </w:r>
    </w:p>
    <w:p w:rsidR="00DD5633" w:rsidRDefault="00DD5633" w:rsidP="00DD5633">
      <w:pPr>
        <w:pStyle w:val="Standard"/>
        <w:numPr>
          <w:ilvl w:val="0"/>
          <w:numId w:val="5"/>
        </w:numPr>
        <w:jc w:val="both"/>
        <w:rPr>
          <w:rFonts w:hint="eastAsia"/>
        </w:rPr>
      </w:pPr>
      <w:r>
        <w:rPr>
          <w:rFonts w:ascii="Times New Roman" w:hAnsi="Times New Roman" w:cs="Times New Roman"/>
        </w:rPr>
        <w:t>Naknadu za priključak na vodovod i kanalizaciju u visini od 110.001,23 kune,</w:t>
      </w:r>
    </w:p>
    <w:p w:rsidR="00DD5633" w:rsidRDefault="00DD5633" w:rsidP="00DD5633">
      <w:pPr>
        <w:pStyle w:val="Standard"/>
        <w:numPr>
          <w:ilvl w:val="0"/>
          <w:numId w:val="5"/>
        </w:numPr>
        <w:jc w:val="both"/>
        <w:rPr>
          <w:rFonts w:hint="eastAsia"/>
        </w:rPr>
      </w:pPr>
      <w:r>
        <w:rPr>
          <w:rFonts w:ascii="Times New Roman" w:hAnsi="Times New Roman" w:cs="Times New Roman"/>
        </w:rPr>
        <w:t>Potraživanje Dječjeg vrtića „Zeko” za participaciju usluge smještaja djece u vrtiću u iznosu od 152.352 kune.</w:t>
      </w:r>
    </w:p>
    <w:p w:rsidR="00DD5633" w:rsidRDefault="00DD5633" w:rsidP="00DD5633">
      <w:pPr>
        <w:pStyle w:val="Standard"/>
        <w:jc w:val="both"/>
        <w:rPr>
          <w:rFonts w:hint="eastAsia"/>
        </w:rPr>
      </w:pPr>
      <w:r>
        <w:rPr>
          <w:rFonts w:ascii="Times New Roman" w:hAnsi="Times New Roman" w:cs="Times New Roman"/>
        </w:rPr>
        <w:t>- AOP 154 Potraživanja za prihode iz proračuna u ukupnom iznosu od 902.982 kune</w:t>
      </w:r>
      <w:r w:rsidR="00805363">
        <w:rPr>
          <w:rFonts w:ascii="Times New Roman" w:hAnsi="Times New Roman" w:cs="Times New Roman"/>
        </w:rPr>
        <w:t>, podatak je</w:t>
      </w:r>
      <w:r w:rsidR="00805363">
        <w:t xml:space="preserve"> </w:t>
      </w:r>
      <w:r>
        <w:rPr>
          <w:rFonts w:ascii="Times New Roman" w:hAnsi="Times New Roman" w:cs="Times New Roman"/>
        </w:rPr>
        <w:t xml:space="preserve">izuzet je iz </w:t>
      </w:r>
      <w:proofErr w:type="spellStart"/>
      <w:r>
        <w:rPr>
          <w:rFonts w:ascii="Times New Roman" w:hAnsi="Times New Roman" w:cs="Times New Roman"/>
        </w:rPr>
        <w:t>obrazca</w:t>
      </w:r>
      <w:proofErr w:type="spellEnd"/>
      <w:r>
        <w:rPr>
          <w:rFonts w:ascii="Times New Roman" w:hAnsi="Times New Roman" w:cs="Times New Roman"/>
        </w:rPr>
        <w:t xml:space="preserve"> </w:t>
      </w:r>
      <w:proofErr w:type="spellStart"/>
      <w:r>
        <w:rPr>
          <w:rFonts w:ascii="Times New Roman" w:hAnsi="Times New Roman" w:cs="Times New Roman"/>
        </w:rPr>
        <w:t>Bil</w:t>
      </w:r>
      <w:proofErr w:type="spellEnd"/>
      <w:r>
        <w:rPr>
          <w:rFonts w:ascii="Times New Roman" w:hAnsi="Times New Roman" w:cs="Times New Roman"/>
        </w:rPr>
        <w:t xml:space="preserve"> konsolidirano po metodologiji izrade konsolidiranog izvještaja, a čine ga pojedinačni iznosi potraživanja proračunskih korisnika od nadležnog proračuna kako slijedi: Dječji vrtić „Zeko” potražuje 252.529 kuna, Pučko otvoreno učilište potražuje 489.189 kuna, Gradska knjižnica i čitaonica potražuje 10.146 kuna, Zavičajni muzej potražuje 2 kune, Javna vatrogasna postrojba potražuje 100.591 kunu te Gradska razvojna agencija potražuje 50.525 kuna. Navedeni iznosi izuzeti su i iz konta 239 Ostale tekuće obveze AOP 174.</w:t>
      </w:r>
    </w:p>
    <w:p w:rsidR="00DD5633" w:rsidRDefault="00DD5633" w:rsidP="00DD5633">
      <w:pPr>
        <w:pStyle w:val="Standard"/>
        <w:jc w:val="both"/>
        <w:rPr>
          <w:rFonts w:hint="eastAsia"/>
        </w:rPr>
      </w:pPr>
      <w:r>
        <w:rPr>
          <w:rFonts w:ascii="Times New Roman" w:eastAsia="Times New Roman" w:hAnsi="Times New Roman" w:cs="Times New Roman"/>
        </w:rPr>
        <w:t xml:space="preserve"> </w:t>
      </w:r>
      <w:r>
        <w:rPr>
          <w:rFonts w:ascii="Times New Roman" w:hAnsi="Times New Roman" w:cs="Times New Roman"/>
        </w:rPr>
        <w:t>- AOP 155 Potraživanja za kazne i upravne mjere te ostale prihode evidentirana su u visini od 156.384,95 kuna, ili 4% više u odnosu na prošlu godinu, a odnose se na potraživanja za troškove prisilne naplate nastale u postupku naplate gradskih prihoda.</w:t>
      </w:r>
    </w:p>
    <w:p w:rsidR="00DD5633" w:rsidRDefault="00DD5633" w:rsidP="00DD5633">
      <w:pPr>
        <w:pStyle w:val="Standard"/>
        <w:jc w:val="both"/>
        <w:rPr>
          <w:rFonts w:hint="eastAsia"/>
        </w:rPr>
      </w:pPr>
      <w:r>
        <w:rPr>
          <w:rFonts w:ascii="Times New Roman" w:hAnsi="Times New Roman" w:cs="Times New Roman"/>
        </w:rPr>
        <w:t>- AOP 157 Potraživanje od prodaje nefinancijske imovine,</w:t>
      </w:r>
      <w:r>
        <w:rPr>
          <w:rFonts w:ascii="Times New Roman" w:hAnsi="Times New Roman" w:cs="Times New Roman"/>
          <w:b/>
        </w:rPr>
        <w:t xml:space="preserve"> </w:t>
      </w:r>
      <w:r>
        <w:rPr>
          <w:rFonts w:ascii="Times New Roman" w:hAnsi="Times New Roman" w:cs="Times New Roman"/>
        </w:rPr>
        <w:t>stanje je 169,2% više u odnosu na početak godine, a sadrži potraživanja za prodaju zemlje u visini  od 839.878,98 kuna, potraživanja od prodaje gradskih stanova u visini 3.366.089,13 kuna te potraživanja za poslovni prostor u visini od 489.717,67 kuna.</w:t>
      </w:r>
    </w:p>
    <w:p w:rsidR="00DD5633" w:rsidRDefault="00DD5633" w:rsidP="00DD5633">
      <w:pPr>
        <w:pStyle w:val="Standard"/>
        <w:jc w:val="both"/>
        <w:rPr>
          <w:rFonts w:hint="eastAsia"/>
        </w:rPr>
      </w:pPr>
      <w:r>
        <w:rPr>
          <w:rFonts w:ascii="Times New Roman" w:hAnsi="Times New Roman" w:cs="Times New Roman"/>
        </w:rPr>
        <w:t>- AOP 158 Rashodi budućih razdoblja i nedospjela naplata prihoda,</w:t>
      </w:r>
      <w:r>
        <w:rPr>
          <w:rFonts w:ascii="Times New Roman" w:hAnsi="Times New Roman" w:cs="Times New Roman"/>
          <w:b/>
        </w:rPr>
        <w:t xml:space="preserve"> </w:t>
      </w:r>
      <w:r>
        <w:rPr>
          <w:rFonts w:ascii="Times New Roman" w:hAnsi="Times New Roman" w:cs="Times New Roman"/>
        </w:rPr>
        <w:t>stanje je krajem godine manje 85,2%. Promjene su evidentirane na:</w:t>
      </w:r>
    </w:p>
    <w:p w:rsidR="00DD5633" w:rsidRDefault="00DD5633" w:rsidP="00DD5633">
      <w:pPr>
        <w:pStyle w:val="Standard"/>
        <w:numPr>
          <w:ilvl w:val="0"/>
          <w:numId w:val="6"/>
        </w:numPr>
        <w:jc w:val="both"/>
        <w:rPr>
          <w:rFonts w:hint="eastAsia"/>
        </w:rPr>
      </w:pPr>
      <w:r>
        <w:rPr>
          <w:rFonts w:ascii="Times New Roman" w:hAnsi="Times New Roman" w:cs="Times New Roman"/>
        </w:rPr>
        <w:t>AOP 159 Unaprijed plaćeni rashodi budućih razdoblja manji su 76,7% i iznose  31.773 kune kod Gradske knjižnice i čitaonice Slatina,</w:t>
      </w:r>
    </w:p>
    <w:p w:rsidR="00DD5633" w:rsidRDefault="00DD5633" w:rsidP="00DD5633">
      <w:pPr>
        <w:pStyle w:val="Standard"/>
        <w:numPr>
          <w:ilvl w:val="0"/>
          <w:numId w:val="6"/>
        </w:numPr>
        <w:jc w:val="both"/>
        <w:rPr>
          <w:rFonts w:hint="eastAsia"/>
        </w:rPr>
      </w:pPr>
      <w:r>
        <w:rPr>
          <w:rFonts w:ascii="Times New Roman" w:hAnsi="Times New Roman" w:cs="Times New Roman"/>
        </w:rPr>
        <w:t xml:space="preserve">AOP 161 Kontinuirani rashodi budućih razdoblja manji su 3,5% i iznose 1.040.509 kuna, sadrže rashode koji se obračunavaju u pravilu mjesečno. </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u w:val="single"/>
        </w:rPr>
        <w:t>Bilješka broj 2. vezana za AOP oznaku 162 Obveze i vlastiti izvori</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Stanje obveza i izvora krajem godine veće je 0,</w:t>
      </w:r>
      <w:r w:rsidR="005C3CA1">
        <w:rPr>
          <w:rFonts w:ascii="Times New Roman" w:hAnsi="Times New Roman" w:cs="Times New Roman"/>
        </w:rPr>
        <w:t>8</w:t>
      </w:r>
      <w:r>
        <w:rPr>
          <w:rFonts w:ascii="Times New Roman" w:hAnsi="Times New Roman" w:cs="Times New Roman"/>
        </w:rPr>
        <w:t>% nego početkom godine, što ne predstavlja značajnije promjene. Međutim povećanje i smanjenje na pojedinim stavkama obveza i izvora doprinijelo je ukupnom povećanju obveza i vlastitih izvora. Promjene vezane za AOP 162, nastale su uslijed promjena na:</w:t>
      </w:r>
    </w:p>
    <w:p w:rsidR="00DD5633" w:rsidRDefault="00DD5633" w:rsidP="00DD5633">
      <w:pPr>
        <w:pStyle w:val="Standard"/>
        <w:jc w:val="both"/>
        <w:rPr>
          <w:rFonts w:hint="eastAsia"/>
        </w:rPr>
      </w:pPr>
      <w:r>
        <w:rPr>
          <w:rFonts w:ascii="Times New Roman" w:hAnsi="Times New Roman" w:cs="Times New Roman"/>
        </w:rPr>
        <w:t xml:space="preserve">- </w:t>
      </w:r>
      <w:r w:rsidRPr="005C3CA1">
        <w:rPr>
          <w:rFonts w:ascii="Times New Roman" w:hAnsi="Times New Roman" w:cs="Times New Roman"/>
          <w:b/>
        </w:rPr>
        <w:t>AOP 163 Obveze</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 stanje obveza krajem godine manje je 9,2 % u odnosu na početak godine. Smanjenje obveza nastalo je kao rezultat podmirenih tekućih obveza  i obveza iz </w:t>
      </w:r>
      <w:r>
        <w:rPr>
          <w:rFonts w:ascii="Times New Roman" w:hAnsi="Times New Roman" w:cs="Times New Roman"/>
        </w:rPr>
        <w:lastRenderedPageBreak/>
        <w:t>ranijih razdoblja. Značajnije promjene u odnosu na stanje na početku godine kod Grada i proračunskih korisnika evidentirano je na:</w:t>
      </w:r>
    </w:p>
    <w:p w:rsidR="00DD5633" w:rsidRDefault="005C3CA1" w:rsidP="005C3CA1">
      <w:pPr>
        <w:pStyle w:val="Standar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w:t>
      </w:r>
      <w:r w:rsidR="00DD5633">
        <w:rPr>
          <w:rFonts w:ascii="Times New Roman" w:hAnsi="Times New Roman" w:cs="Times New Roman"/>
        </w:rPr>
        <w:t>OP 164 Obveze za rashode poslovanja, ove obveze veće su 2</w:t>
      </w:r>
      <w:r>
        <w:rPr>
          <w:rFonts w:ascii="Times New Roman" w:hAnsi="Times New Roman" w:cs="Times New Roman"/>
        </w:rPr>
        <w:t>9,1</w:t>
      </w:r>
      <w:r w:rsidR="00DD5633">
        <w:rPr>
          <w:rFonts w:ascii="Times New Roman" w:hAnsi="Times New Roman" w:cs="Times New Roman"/>
        </w:rPr>
        <w:t>%, što je rezultat povećanja obveza za zaposlene 55,9%, za materijalne rashode 29,7% te smanjenje obveza za financijske rashode za 2</w:t>
      </w:r>
      <w:r>
        <w:rPr>
          <w:rFonts w:ascii="Times New Roman" w:hAnsi="Times New Roman" w:cs="Times New Roman"/>
        </w:rPr>
        <w:t>2</w:t>
      </w:r>
      <w:r w:rsidR="00DD5633">
        <w:rPr>
          <w:rFonts w:ascii="Times New Roman" w:hAnsi="Times New Roman" w:cs="Times New Roman"/>
        </w:rPr>
        <w:t>,1%,</w:t>
      </w:r>
      <w:r w:rsidR="004E6AF6">
        <w:rPr>
          <w:rFonts w:ascii="Times New Roman" w:hAnsi="Times New Roman" w:cs="Times New Roman"/>
        </w:rPr>
        <w:t xml:space="preserve"> zato što je jedan kredit tijekom godine otplaćen.</w:t>
      </w:r>
    </w:p>
    <w:p w:rsidR="000A1E6B" w:rsidRDefault="000A1E6B" w:rsidP="005C3CA1">
      <w:pPr>
        <w:pStyle w:val="Standard"/>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AOP 174 Ostale tekuće obveze, manje su 11,9% u odnosu na prošlu godinu, umanjene su za </w:t>
      </w:r>
      <w:r w:rsidR="00805363">
        <w:rPr>
          <w:rFonts w:ascii="Times New Roman" w:hAnsi="Times New Roman" w:cs="Times New Roman"/>
        </w:rPr>
        <w:t>eliminirane obveze</w:t>
      </w:r>
      <w:r>
        <w:rPr>
          <w:rFonts w:ascii="Times New Roman" w:hAnsi="Times New Roman" w:cs="Times New Roman"/>
        </w:rPr>
        <w:t xml:space="preserve"> Grada prema proračunskim korisnicima za njihove prihode zatečene 31.12.2017 na računu Grada u ukupnom iznosu od 902.982,00 kuna kako je opisano u bilješci uz AOP 154.</w:t>
      </w:r>
    </w:p>
    <w:p w:rsidR="00DD5633" w:rsidRDefault="005C3CA1" w:rsidP="005C3CA1">
      <w:pPr>
        <w:pStyle w:val="Standard"/>
        <w:jc w:val="both"/>
        <w:rPr>
          <w:rFonts w:ascii="Times New Roman" w:hAnsi="Times New Roman" w:cs="Times New Roman"/>
        </w:rPr>
      </w:pPr>
      <w:r>
        <w:rPr>
          <w:rFonts w:ascii="Times New Roman" w:hAnsi="Times New Roman" w:cs="Times New Roman"/>
        </w:rPr>
        <w:t xml:space="preserve">- </w:t>
      </w:r>
      <w:r>
        <w:tab/>
      </w:r>
      <w:r w:rsidR="00DD5633">
        <w:rPr>
          <w:rFonts w:ascii="Times New Roman" w:hAnsi="Times New Roman" w:cs="Times New Roman"/>
        </w:rPr>
        <w:t>AOP 175 Obveze za nabavu nefinancijske imovine, povećane su 8,6%, a rezultat su ulaganja u građevinske objekte u vlasništvu grada, izgradnju infrastrukture, ulaganja u projekte te nabavu namještaja i opreme,</w:t>
      </w:r>
    </w:p>
    <w:p w:rsidR="00DD5633" w:rsidRDefault="005C3CA1" w:rsidP="005C3CA1">
      <w:pPr>
        <w:pStyle w:val="Standard"/>
        <w:jc w:val="both"/>
        <w:rPr>
          <w:rFonts w:hint="eastAsia"/>
        </w:rPr>
      </w:pPr>
      <w:r>
        <w:rPr>
          <w:rFonts w:ascii="Times New Roman" w:hAnsi="Times New Roman" w:cs="Times New Roman"/>
        </w:rPr>
        <w:t xml:space="preserve">- </w:t>
      </w:r>
      <w:r>
        <w:tab/>
      </w:r>
      <w:r w:rsidR="00DD5633">
        <w:rPr>
          <w:rFonts w:ascii="Times New Roman" w:hAnsi="Times New Roman" w:cs="Times New Roman"/>
        </w:rPr>
        <w:t xml:space="preserve">AOP 193 Obveze za kredite i zajmove manje su 28% u odnosu na početak godine, zbog pravodobnog podmirenja kreditnih obveza i konačne otplate zajma </w:t>
      </w:r>
      <w:proofErr w:type="spellStart"/>
      <w:r w:rsidR="00DD5633">
        <w:rPr>
          <w:rFonts w:ascii="Times New Roman" w:hAnsi="Times New Roman" w:cs="Times New Roman"/>
        </w:rPr>
        <w:t>Addiko</w:t>
      </w:r>
      <w:proofErr w:type="spellEnd"/>
      <w:r w:rsidR="00DD5633">
        <w:rPr>
          <w:rFonts w:ascii="Times New Roman" w:hAnsi="Times New Roman" w:cs="Times New Roman"/>
        </w:rPr>
        <w:t xml:space="preserve"> banci.</w:t>
      </w:r>
    </w:p>
    <w:p w:rsidR="00DD5633" w:rsidRDefault="00DD5633" w:rsidP="00DD5633">
      <w:pPr>
        <w:pStyle w:val="Standard"/>
        <w:jc w:val="both"/>
        <w:rPr>
          <w:rFonts w:hint="eastAsia"/>
        </w:rPr>
      </w:pPr>
      <w:r>
        <w:rPr>
          <w:rFonts w:ascii="Times New Roman" w:hAnsi="Times New Roman" w:cs="Times New Roman"/>
        </w:rPr>
        <w:t xml:space="preserve">- </w:t>
      </w:r>
      <w:r w:rsidRPr="005C3CA1">
        <w:rPr>
          <w:rFonts w:ascii="Times New Roman" w:hAnsi="Times New Roman" w:cs="Times New Roman"/>
          <w:b/>
        </w:rPr>
        <w:t>AOP 223 Vlastiti izvori</w:t>
      </w:r>
      <w:r>
        <w:rPr>
          <w:rFonts w:ascii="Times New Roman" w:hAnsi="Times New Roman" w:cs="Times New Roman"/>
        </w:rPr>
        <w:t>, stanje vlastitih izvora više je 1,7% u odnosu na početak godine, sukladno povećanju i smanjenju imovine tijekom godine, što se ne smatra većim odstupanjem u odnosu na početak godine.</w:t>
      </w:r>
    </w:p>
    <w:p w:rsidR="00DD5633" w:rsidRDefault="00DD5633" w:rsidP="00DD5633">
      <w:pPr>
        <w:pStyle w:val="Standard"/>
        <w:jc w:val="both"/>
        <w:rPr>
          <w:rFonts w:hint="eastAsia"/>
        </w:rPr>
      </w:pPr>
      <w:r>
        <w:rPr>
          <w:rFonts w:ascii="Times New Roman" w:hAnsi="Times New Roman" w:cs="Times New Roman"/>
        </w:rPr>
        <w:t>- AOP 228 Ispravak vlastitih izvora za obveze- ispravak vlastitih izvora za obveze manji je 24,7%.</w:t>
      </w:r>
    </w:p>
    <w:p w:rsidR="00DD5633" w:rsidRDefault="00DD5633" w:rsidP="00DD5633">
      <w:pPr>
        <w:pStyle w:val="Standard"/>
        <w:jc w:val="both"/>
        <w:rPr>
          <w:rFonts w:hint="eastAsia"/>
        </w:rPr>
      </w:pPr>
      <w:r>
        <w:rPr>
          <w:rFonts w:ascii="Times New Roman" w:hAnsi="Times New Roman" w:cs="Times New Roman"/>
        </w:rPr>
        <w:t>- AOP 232 Višak prihoda,</w:t>
      </w:r>
      <w:r>
        <w:rPr>
          <w:rFonts w:ascii="Times New Roman" w:hAnsi="Times New Roman" w:cs="Times New Roman"/>
          <w:b/>
        </w:rPr>
        <w:t xml:space="preserve"> </w:t>
      </w:r>
      <w:r>
        <w:rPr>
          <w:rFonts w:ascii="Times New Roman" w:hAnsi="Times New Roman" w:cs="Times New Roman"/>
        </w:rPr>
        <w:t>veći je krajem godine 18,9% u odnosu na početak godine. Ostvaren je kao:</w:t>
      </w:r>
    </w:p>
    <w:p w:rsidR="00DD5633" w:rsidRDefault="00DD5633" w:rsidP="00DD5633">
      <w:pPr>
        <w:pStyle w:val="Standard"/>
        <w:jc w:val="both"/>
        <w:rPr>
          <w:rFonts w:hint="eastAsia"/>
        </w:rPr>
      </w:pPr>
      <w:r>
        <w:rPr>
          <w:rFonts w:ascii="Times New Roman" w:hAnsi="Times New Roman" w:cs="Times New Roman"/>
        </w:rPr>
        <w:t>- AOP 233 Višak prihoda poslovanja u visini 12.489.802 kune nastao je kao rezultat prenesenog viška prihoda poslovanja Grada u visini 3.806.430,93 kune, uvećanog za ostvareni višak prihoda poslovanja tekuće godine po PR-RAS obrascu AOP 282 u visini od 4.952.498,71 kunu, te umanjen za korekciju rezultata za kapitalna ulaganja u visini 617.521,80 kuna; kod Javne vatrogasne postrojbe bilježimo višak od 3.345.042 kune, kod Gradske knjižnice i čitaonice 10.146 kuna, kod Zavičajnog muzeja 2 kune, kod Pučkog otvorenog učilišta 492.969 kuna, kod Dječjeg vrtića „Zeko” 445.042 kune, kod Gradske razvojne agencije 52.515 kuna te kod Vijeća srpske nacionalne manjine 2.678 kuna.</w:t>
      </w:r>
    </w:p>
    <w:p w:rsidR="00DD5633" w:rsidRDefault="00DD5633" w:rsidP="00DD5633">
      <w:pPr>
        <w:pStyle w:val="Standard"/>
        <w:jc w:val="both"/>
        <w:rPr>
          <w:rFonts w:hint="eastAsia"/>
        </w:rPr>
      </w:pPr>
      <w:r>
        <w:rPr>
          <w:rFonts w:ascii="Times New Roman" w:hAnsi="Times New Roman" w:cs="Times New Roman"/>
        </w:rPr>
        <w:t xml:space="preserve">- AOP 235 Višak prihoda od financijske imovine u visini od 1.007.304 kune, nastao je sučeljavanjem prenesenog viška primitaka u visini 2.868.045,51 kunu i ostvarenog manjka primitaka tekuće godine u visini 2.149.999,36 kuna, po PR-RAS obrascu AOP 626 te ostvarenog viška prihoda kod Javne vatrogasne postrojbe iznosi 289.258 kuna. </w:t>
      </w:r>
    </w:p>
    <w:p w:rsidR="00DD5633" w:rsidRDefault="00DD5633" w:rsidP="00DD5633">
      <w:pPr>
        <w:pStyle w:val="Standard"/>
        <w:jc w:val="both"/>
        <w:rPr>
          <w:rFonts w:hint="eastAsia"/>
        </w:rPr>
      </w:pPr>
      <w:r>
        <w:rPr>
          <w:rFonts w:ascii="Times New Roman" w:hAnsi="Times New Roman" w:cs="Times New Roman"/>
        </w:rPr>
        <w:t>- AOP 238 Manjak prihoda od nefinancijske imovine ostvaren u visini od  16.410.203 kune, nastao je sučeljavanjem prenesenog manjka prihoda u visini 9.567.221,72 kune i ostvarenog manjka prihoda tekuće godine po PR-RAS obrascu AOP 399 u visini 3.675.117,58 kuna, umanjenog za korekciju rezultata za kapitalna ulaganja u visini od 617.521,80 kuna iz izvora prihoda od kapitalnih pomoći te ostvarenog manjka prihoda kod Javne vatrogasne postrojbe 3.564.961 kunu, kod Dječjeg vrtića „Zeko” 218.675 kuna te kod Gradske razvojne agencije 1.750 kuna.</w:t>
      </w:r>
    </w:p>
    <w:p w:rsidR="00DD5633" w:rsidRDefault="00DD5633" w:rsidP="00DD5633">
      <w:pPr>
        <w:pStyle w:val="Standard"/>
        <w:jc w:val="both"/>
        <w:rPr>
          <w:rFonts w:hint="eastAsia"/>
        </w:rPr>
      </w:pPr>
      <w:r>
        <w:rPr>
          <w:rFonts w:ascii="Times New Roman" w:hAnsi="Times New Roman" w:cs="Times New Roman"/>
        </w:rPr>
        <w:t>- AOP 240 Obračunati prihodi poslovanja- stanje je 22% veće u odnosu na početak godine zbog toga što su evidentirani novi obračuni prihoda.</w:t>
      </w:r>
    </w:p>
    <w:p w:rsidR="00DD5633" w:rsidRDefault="00DD5633" w:rsidP="00DD5633">
      <w:pPr>
        <w:pStyle w:val="Standard"/>
        <w:jc w:val="both"/>
        <w:rPr>
          <w:rFonts w:hint="eastAsia"/>
        </w:rPr>
      </w:pPr>
      <w:r>
        <w:rPr>
          <w:rFonts w:ascii="Times New Roman" w:hAnsi="Times New Roman" w:cs="Times New Roman"/>
        </w:rPr>
        <w:t>- AOP 241 Obračunati prihodi od nefinancijske imovine</w:t>
      </w:r>
      <w:r>
        <w:rPr>
          <w:rFonts w:ascii="Times New Roman" w:hAnsi="Times New Roman" w:cs="Times New Roman"/>
          <w:b/>
        </w:rPr>
        <w:t xml:space="preserve"> – </w:t>
      </w:r>
      <w:r>
        <w:rPr>
          <w:rFonts w:ascii="Times New Roman" w:hAnsi="Times New Roman" w:cs="Times New Roman"/>
        </w:rPr>
        <w:t>stanje je krajem godine veće 158,8 % u odnosu na početak godine zbog toga što su   povećana potraživanja za prodaju nefinancijske imovine.</w:t>
      </w:r>
    </w:p>
    <w:p w:rsidR="00DD5633" w:rsidRDefault="00DD5633" w:rsidP="00DD5633">
      <w:pPr>
        <w:pStyle w:val="Standard"/>
        <w:jc w:val="both"/>
        <w:rPr>
          <w:rFonts w:hint="eastAsia"/>
        </w:rPr>
      </w:pPr>
      <w:r>
        <w:rPr>
          <w:rFonts w:ascii="Times New Roman" w:hAnsi="Times New Roman" w:cs="Times New Roman"/>
        </w:rPr>
        <w:t>- AOP 244 i 245 Izvan bilančni zapisi aktiva i pasiva</w:t>
      </w:r>
      <w:r>
        <w:rPr>
          <w:rFonts w:ascii="Times New Roman" w:hAnsi="Times New Roman" w:cs="Times New Roman"/>
          <w:b/>
        </w:rPr>
        <w:t xml:space="preserve"> </w:t>
      </w:r>
      <w:r>
        <w:rPr>
          <w:rFonts w:ascii="Times New Roman" w:hAnsi="Times New Roman" w:cs="Times New Roman"/>
        </w:rPr>
        <w:t xml:space="preserve">– stanje je manje krajem godine za 28,6%.  Evidentirani su u visini od 66.556.461 kunu, a obuhvaćaju podatke o tuđoj imovini danoj na korištenje u obliku službenog vozila Golf </w:t>
      </w:r>
      <w:proofErr w:type="spellStart"/>
      <w:r>
        <w:rPr>
          <w:rFonts w:ascii="Times New Roman" w:hAnsi="Times New Roman" w:cs="Times New Roman"/>
        </w:rPr>
        <w:t>Variant</w:t>
      </w:r>
      <w:proofErr w:type="spellEnd"/>
      <w:r>
        <w:rPr>
          <w:rFonts w:ascii="Times New Roman" w:hAnsi="Times New Roman" w:cs="Times New Roman"/>
        </w:rPr>
        <w:t xml:space="preserve"> TDI </w:t>
      </w:r>
      <w:proofErr w:type="spellStart"/>
      <w:r>
        <w:rPr>
          <w:rFonts w:ascii="Times New Roman" w:hAnsi="Times New Roman" w:cs="Times New Roman"/>
        </w:rPr>
        <w:t>Trendline</w:t>
      </w:r>
      <w:proofErr w:type="spellEnd"/>
      <w:r>
        <w:rPr>
          <w:rFonts w:ascii="Times New Roman" w:hAnsi="Times New Roman" w:cs="Times New Roman"/>
        </w:rPr>
        <w:t xml:space="preserve"> nabavljenog na </w:t>
      </w:r>
      <w:proofErr w:type="spellStart"/>
      <w:r>
        <w:rPr>
          <w:rFonts w:ascii="Times New Roman" w:hAnsi="Times New Roman" w:cs="Times New Roman"/>
        </w:rPr>
        <w:t>leasing</w:t>
      </w:r>
      <w:proofErr w:type="spellEnd"/>
      <w:r>
        <w:rPr>
          <w:rFonts w:ascii="Times New Roman" w:hAnsi="Times New Roman" w:cs="Times New Roman"/>
        </w:rPr>
        <w:t xml:space="preserve"> 173.719,74 kune, primljene bjanko zadužnice za obročnu otplatu stana po stanarskom pravu 50.000,00 kuna, povelja „Put prijateljstva Vukovar – Ljubljana“ 3.755,00 kuna, danim </w:t>
      </w:r>
      <w:r>
        <w:rPr>
          <w:rFonts w:ascii="Times New Roman" w:hAnsi="Times New Roman" w:cs="Times New Roman"/>
        </w:rPr>
        <w:lastRenderedPageBreak/>
        <w:t xml:space="preserve">vrijednosnim papirima: zadužnice dobavljačima i kreditorima u visini 22.110.000,00 kuna, dane mjenične izjave za ugovore vrijednosti 3.616.502,28 kuna, primljeni vrijednosni papiri od kupaca kao garancije prikazane su u visini od 4.463.645,30 kuna, primljene zadužnice u visini od 27.063.871,69 kuna, primljene bjanko zadužnice za javnu vodoopskrbu i odvodnju u visini od 204.600,55 kuna,  primljene bjanko zadužnice za povrat stipendija u visini od 800.000,00 kuna, primljene mjenične izjave od kupaca u visini od 4.066.123,37 kuna, potpisani ugovori za već započete projekte za koje još nisu ispostavljene obračunske situacije i za novougovorene obveze u visini od  2.138.428,92 kune. Potpisani ugovori  za koje nisu situirani svi radovi odnose se na slijedeće projekte: Ugovor o izradi plana razvoja širokopojasnog </w:t>
      </w:r>
      <w:proofErr w:type="spellStart"/>
      <w:r>
        <w:rPr>
          <w:rFonts w:ascii="Times New Roman" w:hAnsi="Times New Roman" w:cs="Times New Roman"/>
        </w:rPr>
        <w:t>interneta</w:t>
      </w:r>
      <w:proofErr w:type="spellEnd"/>
      <w:r>
        <w:rPr>
          <w:rFonts w:ascii="Times New Roman" w:hAnsi="Times New Roman" w:cs="Times New Roman"/>
        </w:rPr>
        <w:t xml:space="preserve"> 28.121,61 kuna, izrada Plana gospodarenja otpadom 12.937,50 kuna, održavanje ceste P. Preradovića 34.041,09 kuna, nadzor za održavanje ceste P. Preradovića 1.000,00 kuna, arheološki nadzor nad izgradnjom cesta na PZ Turbina II 39.500,00 kuna, izgradnju „Nove ulice“ s nogostupom i parkiralištima 9.000,00 kuna, nadzor rekonstrukcije Strossmayerove ulice 9.012,50 kuna,  rekonstrukcija Strossmayerove ulice  50.101,98 kuna, Idejni projekt za lokacijsku dozvolu rekonstrukcije Ulice </w:t>
      </w:r>
      <w:proofErr w:type="spellStart"/>
      <w:r>
        <w:rPr>
          <w:rFonts w:ascii="Times New Roman" w:hAnsi="Times New Roman" w:cs="Times New Roman"/>
        </w:rPr>
        <w:t>N.Š</w:t>
      </w:r>
      <w:proofErr w:type="spellEnd"/>
      <w:r>
        <w:rPr>
          <w:rFonts w:ascii="Times New Roman" w:hAnsi="Times New Roman" w:cs="Times New Roman"/>
        </w:rPr>
        <w:t xml:space="preserve">. Zrinski u Slatini 47.750,00 kuna, sanacija ceste M. Trnine 222,87 kuna,  nadzor sanacije ceste </w:t>
      </w:r>
      <w:proofErr w:type="spellStart"/>
      <w:r>
        <w:rPr>
          <w:rFonts w:ascii="Times New Roman" w:hAnsi="Times New Roman" w:cs="Times New Roman"/>
        </w:rPr>
        <w:t>A.G</w:t>
      </w:r>
      <w:proofErr w:type="spellEnd"/>
      <w:r>
        <w:rPr>
          <w:rFonts w:ascii="Times New Roman" w:hAnsi="Times New Roman" w:cs="Times New Roman"/>
        </w:rPr>
        <w:t xml:space="preserve">. Matoš 3.200,00 kuna, sanacija ceste </w:t>
      </w:r>
      <w:proofErr w:type="spellStart"/>
      <w:r>
        <w:rPr>
          <w:rFonts w:ascii="Times New Roman" w:hAnsi="Times New Roman" w:cs="Times New Roman"/>
        </w:rPr>
        <w:t>A.G</w:t>
      </w:r>
      <w:proofErr w:type="spellEnd"/>
      <w:r>
        <w:rPr>
          <w:rFonts w:ascii="Times New Roman" w:hAnsi="Times New Roman" w:cs="Times New Roman"/>
        </w:rPr>
        <w:t xml:space="preserve">. Matoš 114.256,41 kuna, nadzor sanacije </w:t>
      </w:r>
      <w:proofErr w:type="spellStart"/>
      <w:r>
        <w:rPr>
          <w:rFonts w:ascii="Times New Roman" w:hAnsi="Times New Roman" w:cs="Times New Roman"/>
        </w:rPr>
        <w:t>Banovačke</w:t>
      </w:r>
      <w:proofErr w:type="spellEnd"/>
      <w:r>
        <w:rPr>
          <w:rFonts w:ascii="Times New Roman" w:hAnsi="Times New Roman" w:cs="Times New Roman"/>
        </w:rPr>
        <w:t xml:space="preserve"> ulice 3.000,00 kuna, sanacija </w:t>
      </w:r>
      <w:proofErr w:type="spellStart"/>
      <w:r>
        <w:rPr>
          <w:rFonts w:ascii="Times New Roman" w:hAnsi="Times New Roman" w:cs="Times New Roman"/>
        </w:rPr>
        <w:t>Banovačke</w:t>
      </w:r>
      <w:proofErr w:type="spellEnd"/>
      <w:r>
        <w:rPr>
          <w:rFonts w:ascii="Times New Roman" w:hAnsi="Times New Roman" w:cs="Times New Roman"/>
        </w:rPr>
        <w:t xml:space="preserve"> ulice 105.950,11 kuna,  projektna dokumentacija za rekonstrukciju ulice M. Gupca u </w:t>
      </w:r>
      <w:proofErr w:type="spellStart"/>
      <w:r>
        <w:rPr>
          <w:rFonts w:ascii="Times New Roman" w:hAnsi="Times New Roman" w:cs="Times New Roman"/>
        </w:rPr>
        <w:t>Sladojevcima</w:t>
      </w:r>
      <w:proofErr w:type="spellEnd"/>
      <w:r>
        <w:rPr>
          <w:rFonts w:ascii="Times New Roman" w:hAnsi="Times New Roman" w:cs="Times New Roman"/>
        </w:rPr>
        <w:t xml:space="preserve"> 63.750,00 kuna, projekti za javnu rasvjetu na Trgu sv. Josipa, Šetalištu J. </w:t>
      </w:r>
      <w:proofErr w:type="spellStart"/>
      <w:r>
        <w:rPr>
          <w:rFonts w:ascii="Times New Roman" w:hAnsi="Times New Roman" w:cs="Times New Roman"/>
        </w:rPr>
        <w:t>Burgera</w:t>
      </w:r>
      <w:proofErr w:type="spellEnd"/>
      <w:r>
        <w:rPr>
          <w:rFonts w:ascii="Times New Roman" w:hAnsi="Times New Roman" w:cs="Times New Roman"/>
        </w:rPr>
        <w:t xml:space="preserve">, ulici B. Jelačića i Parku 136. slatinske brigade 25.000,00 kuna, Glavni projekt prometnica i javne rasvjete na PZ „Turbina 2” 22.250,00 kuna, uređenje cestovnih jaraka naselja Bakić i </w:t>
      </w:r>
      <w:proofErr w:type="spellStart"/>
      <w:r>
        <w:rPr>
          <w:rFonts w:ascii="Times New Roman" w:hAnsi="Times New Roman" w:cs="Times New Roman"/>
        </w:rPr>
        <w:t>Medinci</w:t>
      </w:r>
      <w:proofErr w:type="spellEnd"/>
      <w:r>
        <w:rPr>
          <w:rFonts w:ascii="Times New Roman" w:hAnsi="Times New Roman" w:cs="Times New Roman"/>
        </w:rPr>
        <w:t xml:space="preserve"> 172.041,81 kunu, projektna dokumentacija za most u G. Miholjcu 50.000,00 kuna, projektna dokumentacija za most na vodotoku Čađavica 17.565,25 kuna, nadzor nad uređenjem okoliša kod športske dvorane 3.075,00 kuna, projektna dokumentacija za cjevovod </w:t>
      </w:r>
      <w:proofErr w:type="spellStart"/>
      <w:r>
        <w:rPr>
          <w:rFonts w:ascii="Times New Roman" w:hAnsi="Times New Roman" w:cs="Times New Roman"/>
        </w:rPr>
        <w:t>Ivanbrijeg</w:t>
      </w:r>
      <w:proofErr w:type="spellEnd"/>
      <w:r>
        <w:rPr>
          <w:rFonts w:ascii="Times New Roman" w:hAnsi="Times New Roman" w:cs="Times New Roman"/>
        </w:rPr>
        <w:t xml:space="preserve"> – </w:t>
      </w:r>
      <w:proofErr w:type="spellStart"/>
      <w:r>
        <w:rPr>
          <w:rFonts w:ascii="Times New Roman" w:hAnsi="Times New Roman" w:cs="Times New Roman"/>
        </w:rPr>
        <w:t>Golenić</w:t>
      </w:r>
      <w:proofErr w:type="spellEnd"/>
      <w:r>
        <w:rPr>
          <w:rFonts w:ascii="Times New Roman" w:hAnsi="Times New Roman" w:cs="Times New Roman"/>
        </w:rPr>
        <w:t xml:space="preserve"> 680,70 kuna, projektna dokumentacija za pročistač otpadnih voda 444.147,35 kune, studija utjecaja na okoliš za pročistač otpadnih voda 1.723,41 kunu, projektna dokumentacija za hidrološka istraživanja izvorišta </w:t>
      </w:r>
      <w:proofErr w:type="spellStart"/>
      <w:r>
        <w:rPr>
          <w:rFonts w:ascii="Times New Roman" w:hAnsi="Times New Roman" w:cs="Times New Roman"/>
        </w:rPr>
        <w:t>Medinci</w:t>
      </w:r>
      <w:proofErr w:type="spellEnd"/>
      <w:r>
        <w:rPr>
          <w:rFonts w:ascii="Times New Roman" w:hAnsi="Times New Roman" w:cs="Times New Roman"/>
        </w:rPr>
        <w:t xml:space="preserve"> 2.327,30 kuna, sufinanciranje nastavka izgradnje kanalizacijskog kolektora 489.109,28 kuna, izgradnja kolektora u </w:t>
      </w:r>
      <w:proofErr w:type="spellStart"/>
      <w:r>
        <w:rPr>
          <w:rFonts w:ascii="Times New Roman" w:hAnsi="Times New Roman" w:cs="Times New Roman"/>
        </w:rPr>
        <w:t>Frankopanskoj</w:t>
      </w:r>
      <w:proofErr w:type="spellEnd"/>
      <w:r>
        <w:rPr>
          <w:rFonts w:ascii="Times New Roman" w:hAnsi="Times New Roman" w:cs="Times New Roman"/>
        </w:rPr>
        <w:t xml:space="preserve"> ulici 127.485,71 kunu, projektna dokumentacija za odvodnju u ulicama </w:t>
      </w:r>
      <w:proofErr w:type="spellStart"/>
      <w:r>
        <w:rPr>
          <w:rFonts w:ascii="Times New Roman" w:hAnsi="Times New Roman" w:cs="Times New Roman"/>
        </w:rPr>
        <w:t>Banovačka</w:t>
      </w:r>
      <w:proofErr w:type="spellEnd"/>
      <w:r>
        <w:rPr>
          <w:rFonts w:ascii="Times New Roman" w:hAnsi="Times New Roman" w:cs="Times New Roman"/>
        </w:rPr>
        <w:t xml:space="preserve"> i blok </w:t>
      </w:r>
      <w:proofErr w:type="spellStart"/>
      <w:r>
        <w:rPr>
          <w:rFonts w:ascii="Times New Roman" w:hAnsi="Times New Roman" w:cs="Times New Roman"/>
        </w:rPr>
        <w:t>Potočani</w:t>
      </w:r>
      <w:proofErr w:type="spellEnd"/>
      <w:r>
        <w:rPr>
          <w:rFonts w:ascii="Times New Roman" w:hAnsi="Times New Roman" w:cs="Times New Roman"/>
        </w:rPr>
        <w:t xml:space="preserve"> 2.031,98 kuna, izgradnja priključnog cjevovoda u ulici B. Jelačića u naselju Bakić 7.141,20 kuna, izgradnja kanalizacijske mreže u „Novoj ulici“ 10.875,00 kuna, izgradnja vodovoda u „Novoj ulici“ 2.987,50 kuna, nabava kompaktnog stroja za odlagalište otpada 68.143,36 kuna, izrada troškovnika za rekonstrukciju spomenika prirode Park </w:t>
      </w:r>
      <w:proofErr w:type="spellStart"/>
      <w:r>
        <w:rPr>
          <w:rFonts w:ascii="Times New Roman" w:hAnsi="Times New Roman" w:cs="Times New Roman"/>
        </w:rPr>
        <w:t>Sequoia</w:t>
      </w:r>
      <w:proofErr w:type="spellEnd"/>
      <w:r>
        <w:rPr>
          <w:rFonts w:ascii="Times New Roman" w:hAnsi="Times New Roman" w:cs="Times New Roman"/>
        </w:rPr>
        <w:t xml:space="preserve"> 85.000,00 kuna te izrada projekta za energetsku obnovu Pučkog otvorenog učilišta i Gradske knjižnice i čitaonice 85.000,00 kuna. Kod Javne vatrogasne postrojbe evidentirani su u visini od 1.750.000 kuna, a čine ih tri vatrogasna vozila. Kod Pučkog otvorenog učilišta iznose 51.637 kuna, a odnose se na gradsku imovinu kod Pučkog otvorenog učilišta. Kod Zavičajnog muzeja iznose 60.977 kuna i također se odnose na gradsku imovinu u Zavičajnom muzeju, dok kod Gradske razvojne agencije iznose 3.200 kuna.</w:t>
      </w:r>
    </w:p>
    <w:p w:rsidR="00DD5633" w:rsidRDefault="00DD5633" w:rsidP="00DD5633">
      <w:pPr>
        <w:pStyle w:val="Standard"/>
        <w:ind w:left="360"/>
        <w:jc w:val="both"/>
        <w:rPr>
          <w:rFonts w:ascii="Times New Roman" w:hAnsi="Times New Roman" w:cs="Times New Roman"/>
          <w:u w:val="single"/>
        </w:rPr>
      </w:pPr>
    </w:p>
    <w:p w:rsidR="00DD5633" w:rsidRDefault="00DD5633" w:rsidP="00DD5633">
      <w:pPr>
        <w:pStyle w:val="Standard"/>
        <w:ind w:left="360"/>
        <w:jc w:val="both"/>
        <w:rPr>
          <w:rFonts w:hint="eastAsia"/>
        </w:rPr>
      </w:pPr>
      <w:r>
        <w:rPr>
          <w:rFonts w:ascii="Times New Roman" w:hAnsi="Times New Roman" w:cs="Times New Roman"/>
          <w:u w:val="single"/>
        </w:rPr>
        <w:t>Bilješka broj 3. Obvezne bilješke uz bilancu</w:t>
      </w:r>
    </w:p>
    <w:p w:rsidR="00DD5633" w:rsidRDefault="00DD5633" w:rsidP="00DD5633">
      <w:pPr>
        <w:pStyle w:val="Standard"/>
        <w:jc w:val="both"/>
        <w:rPr>
          <w:rFonts w:ascii="Times New Roman" w:hAnsi="Times New Roman" w:cs="Times New Roman"/>
          <w:b/>
          <w:u w:val="single"/>
        </w:rPr>
      </w:pPr>
    </w:p>
    <w:p w:rsidR="00DD5633" w:rsidRDefault="00DD5633" w:rsidP="00DD5633">
      <w:pPr>
        <w:pStyle w:val="Standard"/>
        <w:jc w:val="both"/>
        <w:rPr>
          <w:rFonts w:hint="eastAsia"/>
        </w:rPr>
      </w:pPr>
      <w:r>
        <w:rPr>
          <w:rFonts w:ascii="Times New Roman" w:hAnsi="Times New Roman" w:cs="Times New Roman"/>
        </w:rPr>
        <w:t>Pregled stanja danih i primljenih zajmova, kredita i financijskih najmova, propisan kao obvezne bilješke Grad je uputio sukladno Okružnici Ministarstva financija 15.02.2018. godine elektronskom poštom na propisanu e-mail adresu. Obvezne bilješke sadrže:</w:t>
      </w:r>
    </w:p>
    <w:p w:rsidR="00DD5633" w:rsidRDefault="00DD5633" w:rsidP="00DD5633">
      <w:pPr>
        <w:pStyle w:val="Standard"/>
        <w:numPr>
          <w:ilvl w:val="0"/>
          <w:numId w:val="13"/>
        </w:numPr>
        <w:jc w:val="both"/>
        <w:rPr>
          <w:rFonts w:hint="eastAsia"/>
        </w:rPr>
      </w:pPr>
      <w:r>
        <w:rPr>
          <w:rFonts w:ascii="Times New Roman" w:hAnsi="Times New Roman" w:cs="Times New Roman"/>
        </w:rPr>
        <w:t>Tablicu 1. Dani zajmovi i primljene otplate;</w:t>
      </w:r>
    </w:p>
    <w:p w:rsidR="00DD5633" w:rsidRDefault="00DD5633" w:rsidP="00DD5633">
      <w:pPr>
        <w:pStyle w:val="Standard"/>
        <w:numPr>
          <w:ilvl w:val="0"/>
          <w:numId w:val="4"/>
        </w:numPr>
        <w:jc w:val="both"/>
        <w:rPr>
          <w:rFonts w:hint="eastAsia"/>
        </w:rPr>
      </w:pPr>
      <w:r>
        <w:rPr>
          <w:rFonts w:ascii="Times New Roman" w:hAnsi="Times New Roman" w:cs="Times New Roman"/>
        </w:rPr>
        <w:t>Tablicu 2. Primljeni krediti i zajmovi te otplate;</w:t>
      </w:r>
    </w:p>
    <w:p w:rsidR="00DD5633" w:rsidRDefault="00DD5633" w:rsidP="00DD5633">
      <w:pPr>
        <w:pStyle w:val="Standard"/>
        <w:numPr>
          <w:ilvl w:val="0"/>
          <w:numId w:val="4"/>
        </w:numPr>
        <w:jc w:val="both"/>
        <w:rPr>
          <w:rFonts w:hint="eastAsia"/>
        </w:rPr>
      </w:pPr>
      <w:r>
        <w:rPr>
          <w:rFonts w:ascii="Times New Roman" w:hAnsi="Times New Roman" w:cs="Times New Roman"/>
        </w:rPr>
        <w:t>Tablicu 3. Primljeni robni zajmovi i financijski najmovi,</w:t>
      </w:r>
    </w:p>
    <w:p w:rsidR="00DD5633" w:rsidRDefault="00DD5633" w:rsidP="00DD5633">
      <w:pPr>
        <w:pStyle w:val="Standard"/>
        <w:numPr>
          <w:ilvl w:val="0"/>
          <w:numId w:val="4"/>
        </w:numPr>
        <w:jc w:val="both"/>
        <w:rPr>
          <w:rFonts w:hint="eastAsia"/>
        </w:rPr>
      </w:pPr>
      <w:r>
        <w:rPr>
          <w:rFonts w:ascii="Times New Roman" w:hAnsi="Times New Roman" w:cs="Times New Roman"/>
        </w:rPr>
        <w:t>Tablicu 4. Dospjele kamate na kredite i zajmove,</w:t>
      </w:r>
    </w:p>
    <w:p w:rsidR="00DD5633" w:rsidRDefault="00DD5633" w:rsidP="00DD5633">
      <w:pPr>
        <w:pStyle w:val="Standard"/>
        <w:jc w:val="both"/>
        <w:rPr>
          <w:rFonts w:hint="eastAsia"/>
        </w:rPr>
      </w:pPr>
      <w:r>
        <w:rPr>
          <w:rFonts w:ascii="Times New Roman" w:hAnsi="Times New Roman" w:cs="Times New Roman"/>
        </w:rPr>
        <w:lastRenderedPageBreak/>
        <w:t>sukladno članku 16. Pravilnika o financijskom izvještavanju o proračunskom računovodstvu nalaze se u privitku ovih Bilješki i sastavni su dio istih.</w:t>
      </w:r>
    </w:p>
    <w:p w:rsidR="00DD5633" w:rsidRDefault="00DD5633" w:rsidP="00DD5633">
      <w:pPr>
        <w:pStyle w:val="Standard"/>
        <w:jc w:val="both"/>
        <w:rPr>
          <w:rFonts w:ascii="Times New Roman" w:hAnsi="Times New Roman" w:cs="Times New Roman"/>
        </w:rPr>
      </w:pPr>
    </w:p>
    <w:p w:rsidR="00DD5633" w:rsidRDefault="00DD5633" w:rsidP="00DD5633">
      <w:pPr>
        <w:pStyle w:val="Naslov1"/>
        <w:jc w:val="both"/>
      </w:pPr>
      <w:r>
        <w:rPr>
          <w:u w:val="none"/>
        </w:rPr>
        <w:t>Bilješke uz Izvještaj o prihodima i rashodima, primicima i izdacima – uz obrazac: PR-RAS</w:t>
      </w:r>
    </w:p>
    <w:p w:rsidR="00DD5633" w:rsidRDefault="00DD5633" w:rsidP="00DD5633">
      <w:pPr>
        <w:jc w:val="both"/>
      </w:pPr>
    </w:p>
    <w:p w:rsidR="00DD5633" w:rsidRDefault="00DD5633" w:rsidP="00DD5633">
      <w:pPr>
        <w:jc w:val="both"/>
      </w:pPr>
      <w:r>
        <w:rPr>
          <w:u w:val="single"/>
          <w:lang w:val="pl-PL"/>
        </w:rPr>
        <w:t xml:space="preserve">Bilješka broj 1. vezana uz </w:t>
      </w:r>
      <w:r>
        <w:rPr>
          <w:u w:val="single"/>
        </w:rPr>
        <w:t>AOP oznaku 001 Prihodi poslovanja</w:t>
      </w:r>
    </w:p>
    <w:p w:rsidR="00DD5633" w:rsidRDefault="00DD5633" w:rsidP="00DD5633">
      <w:pPr>
        <w:jc w:val="both"/>
        <w:rPr>
          <w:u w:val="single"/>
        </w:rPr>
      </w:pPr>
    </w:p>
    <w:p w:rsidR="00DD5633" w:rsidRDefault="00DD5633" w:rsidP="00DD5633">
      <w:pPr>
        <w:jc w:val="both"/>
      </w:pPr>
      <w:r>
        <w:t>Prihodi poslovanja ostvareni su   1,</w:t>
      </w:r>
      <w:proofErr w:type="spellStart"/>
      <w:r>
        <w:t>1</w:t>
      </w:r>
      <w:proofErr w:type="spellEnd"/>
      <w:r>
        <w:t>% više nego prethodne godine, na povećanje ovih prihoda utjecali su više ostvareni prihodi od pomoći iz inozemstva i od subjekata unutar općeg proračuna, dok su prihodi od poreza, prihodi od imovine, prihodi od upravnih i administrativnih pristojbi, prihodi od prodaje proizvoda i usluga te prihodi od kazni ostvareni manje nego protekle godine.</w:t>
      </w:r>
    </w:p>
    <w:p w:rsidR="00DD5633" w:rsidRDefault="00DD5633" w:rsidP="00DD5633">
      <w:pPr>
        <w:jc w:val="both"/>
      </w:pPr>
    </w:p>
    <w:p w:rsidR="00DD5633" w:rsidRDefault="00DD5633" w:rsidP="00DD5633">
      <w:pPr>
        <w:jc w:val="both"/>
      </w:pPr>
      <w:r>
        <w:rPr>
          <w:u w:val="single"/>
        </w:rPr>
        <w:t xml:space="preserve">Bilješka broj 2. vezana za AOP oznaku 002 Prihodi od poreza  </w:t>
      </w:r>
    </w:p>
    <w:p w:rsidR="00DD5633" w:rsidRDefault="00DD5633" w:rsidP="00DD5633">
      <w:pPr>
        <w:jc w:val="both"/>
        <w:rPr>
          <w:u w:val="single"/>
        </w:rPr>
      </w:pPr>
    </w:p>
    <w:p w:rsidR="00DD5633" w:rsidRDefault="00DD5633" w:rsidP="00DD5633">
      <w:pPr>
        <w:jc w:val="both"/>
      </w:pPr>
      <w:r>
        <w:t>Prihodi od poreza ostvareni su  7,9% manje nego u istom razdoblju prošle godine. U ovoj grupi prihoda odstupanje u odnosu na prošlu godinu nalazimo kod:</w:t>
      </w:r>
    </w:p>
    <w:p w:rsidR="00DD5633" w:rsidRDefault="00DD5633" w:rsidP="00DD5633">
      <w:pPr>
        <w:numPr>
          <w:ilvl w:val="0"/>
          <w:numId w:val="3"/>
        </w:numPr>
        <w:jc w:val="both"/>
      </w:pPr>
      <w:r>
        <w:t>AOP 003 prihoda od poreza i prireza na dohodak, sa smanjenjem od  9,7%, ili   1.049.639,00 kuna, nastalom zbog promjene zakonskih propisa vezanim za porez na dohodak i financiranje jedinica lokalne samouprave te propisa vezanih za izvršavanje Državnog proračuna za 2017. godinu, kojim je tijekom 2017. godine Grad Slatina</w:t>
      </w:r>
      <w:r>
        <w:rPr>
          <w:b/>
        </w:rPr>
        <w:t xml:space="preserve"> </w:t>
      </w:r>
      <w:r>
        <w:t>sa statusom potpomognutog područja ostvario manji dio u ukupnom porezu na dohodak, a kroz kompenzacijske mjere ostvario sredstva pomoći opisane u AOP 055.</w:t>
      </w:r>
    </w:p>
    <w:p w:rsidR="00DD5633" w:rsidRDefault="00DD5633" w:rsidP="00DD5633">
      <w:pPr>
        <w:numPr>
          <w:ilvl w:val="0"/>
          <w:numId w:val="3"/>
        </w:numPr>
        <w:jc w:val="both"/>
      </w:pPr>
      <w:r>
        <w:t>AOP 018 prihoda od poreza na imovinu, sa povećanjem u odnosu na prošlu godinu 54,6% , nastalom zbog više naplaćenog poreza na kuće za odmor, zatim 64,0% više naplaćenog  poreza na promet nekretnina AOP 022 i manje naplaćenog poreza na korištenje javnih površina,  AOP 019.</w:t>
      </w:r>
    </w:p>
    <w:p w:rsidR="00DD5633" w:rsidRDefault="00DD5633" w:rsidP="00DD5633">
      <w:pPr>
        <w:numPr>
          <w:ilvl w:val="0"/>
          <w:numId w:val="3"/>
        </w:numPr>
        <w:jc w:val="both"/>
      </w:pPr>
      <w:r>
        <w:t>AOP 024 porezi na robu i usluge, ostvaren 50,7% manje zbog 3,7% manje ostvarenog poreza na potrošnju AOP 026 i 81,3% manje ostvarenog poreza na tvrtku AOP 028, uslijed ukidanja ove vrste poreza po Zakonu o lokalnim porezima.</w:t>
      </w:r>
    </w:p>
    <w:p w:rsidR="00DD5633" w:rsidRDefault="00DD5633" w:rsidP="00DD5633">
      <w:pPr>
        <w:ind w:left="360"/>
        <w:jc w:val="both"/>
        <w:rPr>
          <w:u w:val="single"/>
        </w:rPr>
      </w:pPr>
    </w:p>
    <w:p w:rsidR="00DD5633" w:rsidRDefault="00DD5633" w:rsidP="00DD5633">
      <w:pPr>
        <w:jc w:val="both"/>
      </w:pPr>
      <w:r>
        <w:rPr>
          <w:u w:val="single"/>
        </w:rPr>
        <w:t xml:space="preserve">Bilješka broj 3. vezana za AOP oznaku 045 Pomoći iz inozemstva i od subjekata unutar općeg proračuna </w:t>
      </w:r>
    </w:p>
    <w:p w:rsidR="00DD5633" w:rsidRDefault="00DD5633" w:rsidP="00DD5633">
      <w:pPr>
        <w:ind w:left="360"/>
        <w:jc w:val="both"/>
        <w:rPr>
          <w:u w:val="single"/>
        </w:rPr>
      </w:pPr>
    </w:p>
    <w:p w:rsidR="00DD5633" w:rsidRDefault="00DD5633" w:rsidP="00DD5633">
      <w:pPr>
        <w:jc w:val="both"/>
      </w:pPr>
      <w:r>
        <w:t>Prihodi od pomoći, ostvareni su 12.963.779 kuna ili 19% više nego u istom razdoblju prošle godine, a razlog povećanja ovoga indeksa je povećanje pomoći iz drugih proračuna, pomoći od izvanproračunskih korisnika te smanjenje pomoći za decentralizirane funkcije vatrogastva. U ovoj grupi prihoda odstupanje u odnosu na prošlu godinu nalazimo kod:</w:t>
      </w:r>
    </w:p>
    <w:p w:rsidR="00DD5633" w:rsidRDefault="00DD5633" w:rsidP="00DD5633">
      <w:pPr>
        <w:numPr>
          <w:ilvl w:val="0"/>
          <w:numId w:val="3"/>
        </w:numPr>
        <w:jc w:val="both"/>
      </w:pPr>
      <w:r>
        <w:t>AOP 054 pod nazivom pomoći proračunu iz drugih proračuna, ostvarene su u iznosu 9.076.553 kune ili 2</w:t>
      </w:r>
      <w:r w:rsidR="0080236C">
        <w:t>7,2</w:t>
      </w:r>
      <w:r>
        <w:t>% više u odnosu na prošlu godinu, a ostvarene su kao:</w:t>
      </w:r>
    </w:p>
    <w:p w:rsidR="00DD5633" w:rsidRDefault="00DD5633" w:rsidP="00DD5633">
      <w:pPr>
        <w:numPr>
          <w:ilvl w:val="1"/>
          <w:numId w:val="3"/>
        </w:numPr>
        <w:jc w:val="both"/>
      </w:pPr>
      <w:r>
        <w:rPr>
          <w:u w:val="single"/>
        </w:rPr>
        <w:t>AOP 055  tekuće pomoći</w:t>
      </w:r>
      <w:r>
        <w:t xml:space="preserve"> u visini 8.475.206 kuna ili 2</w:t>
      </w:r>
      <w:r w:rsidR="0080236C">
        <w:t>9,5</w:t>
      </w:r>
      <w:r>
        <w:t>% više nego 2016, a ostvarene su:</w:t>
      </w:r>
    </w:p>
    <w:p w:rsidR="00DD5633" w:rsidRDefault="00DD5633" w:rsidP="00DD5633">
      <w:pPr>
        <w:numPr>
          <w:ilvl w:val="2"/>
          <w:numId w:val="3"/>
        </w:numPr>
        <w:jc w:val="both"/>
      </w:pPr>
      <w:r>
        <w:t>4.480.351,00 kuna od Ministarstva financija po čl. 39. stavak 1. Zakona o izvršavanju Državnog proračuna RH za 2017., kao kompenzacijska mjera na ime pomoći za obustavljeni povrat poreza na dohodak građanima po godišnjoj prijavi, obustavljen na potpomognutom području sukladno Zakonu o izvršavanju Državnog proračuna za 2017. godinu.</w:t>
      </w:r>
    </w:p>
    <w:p w:rsidR="00DD5633" w:rsidRDefault="00DD5633" w:rsidP="00DD5633">
      <w:pPr>
        <w:numPr>
          <w:ilvl w:val="2"/>
          <w:numId w:val="3"/>
        </w:numPr>
        <w:jc w:val="both"/>
      </w:pPr>
      <w:r>
        <w:lastRenderedPageBreak/>
        <w:t>1.734.879,00 kuna Ministarstva financija po čl. 39. stavak 2. Zakona o izvršavanju Državnog proračuna RH za 2017. na ime pomoći za povrat poreza na dobit na potpomognutim područjima.</w:t>
      </w:r>
    </w:p>
    <w:p w:rsidR="00DD5633" w:rsidRDefault="00DD5633" w:rsidP="00DD5633">
      <w:pPr>
        <w:numPr>
          <w:ilvl w:val="2"/>
          <w:numId w:val="3"/>
        </w:numPr>
        <w:jc w:val="both"/>
      </w:pPr>
      <w:r>
        <w:t>345.565,00 kuna od Ministarstva financija po čl. 39. stavak 5. Zakona o izvršavanju Državnog proračuna RH za 2017. kao pomoć I i II skupini temeljem indeksa razvijenosti. Ovo je pomoć utvrđena prvi put za 2016. godinu.</w:t>
      </w:r>
    </w:p>
    <w:p w:rsidR="00DD5633" w:rsidRDefault="00DD5633" w:rsidP="00DD5633">
      <w:pPr>
        <w:numPr>
          <w:ilvl w:val="2"/>
          <w:numId w:val="3"/>
        </w:numPr>
        <w:jc w:val="both"/>
      </w:pPr>
      <w:r>
        <w:t>508.788,01 kuna od Ministarstva financija kompenzacijske mjere po članku 52. Zakona o izvršavanju Državnog proračuna RH za 2017. kao pomoć u visini razlike između prihoda od poreza na dohodak koji su ostvaren tijekom 2016. godine i prihoda od poreza na dohodak ostvarenog tijekom 2017. godine.  Od toga iznosa uplaćeno je 444.180,55 kuna, a iznos od 64.607,46 kuna Ministarstvo financija kompenziralo je sa povratom poreza. Razliku do visine ukupnog iznosa 975.958,10 kuna, kompenzacijskih mjera za 2017. godinu u visini od 467.170,09 kuna Ministarstvo je uplatilo Gradu 15.1.2018.</w:t>
      </w:r>
    </w:p>
    <w:p w:rsidR="00DD5633" w:rsidRDefault="00DD5633" w:rsidP="00DD5633">
      <w:pPr>
        <w:numPr>
          <w:ilvl w:val="2"/>
          <w:numId w:val="3"/>
        </w:numPr>
        <w:jc w:val="both"/>
      </w:pPr>
      <w:r>
        <w:t xml:space="preserve">559.234,00 kuna od Ministarstva financija prema Odluci Vlade Republike Hrvatske Klasa:022-03/17-04/476, </w:t>
      </w:r>
      <w:proofErr w:type="spellStart"/>
      <w:r>
        <w:t>Urbroj</w:t>
      </w:r>
      <w:proofErr w:type="spellEnd"/>
      <w:r>
        <w:t>:50301-25/14-17-2, od 28. prosinca 2017. godine na ime žurne pomoći za ublažavanje posljedica elementarnih nepogoda nastalih u 2017. godini u Republici Hrvatskoj.</w:t>
      </w:r>
    </w:p>
    <w:p w:rsidR="00DD5633" w:rsidRDefault="00DD5633" w:rsidP="00DD5633">
      <w:pPr>
        <w:numPr>
          <w:ilvl w:val="2"/>
          <w:numId w:val="3"/>
        </w:numPr>
        <w:jc w:val="both"/>
      </w:pPr>
      <w:r>
        <w:t>289.433,16 kuna iz Proračuna Virovitičko-podravske županije za troškove ogrjeva socijalno ugroženih stanovnika Grada Slatine i prigradskih naselja,</w:t>
      </w:r>
    </w:p>
    <w:p w:rsidR="00DD5633" w:rsidRDefault="00DD5633" w:rsidP="00DD5633">
      <w:pPr>
        <w:numPr>
          <w:ilvl w:val="2"/>
          <w:numId w:val="3"/>
        </w:numPr>
        <w:jc w:val="both"/>
      </w:pPr>
      <w:r>
        <w:t>68.955,65 kuna iz Proračuna Virovitičko-podravske županije za troškove izbora za Župana</w:t>
      </w:r>
    </w:p>
    <w:p w:rsidR="00DD5633" w:rsidRDefault="00DD5633" w:rsidP="00DD5633">
      <w:pPr>
        <w:numPr>
          <w:ilvl w:val="2"/>
          <w:numId w:val="3"/>
        </w:numPr>
        <w:jc w:val="both"/>
      </w:pPr>
      <w:r>
        <w:t xml:space="preserve">170.000,00 kuna od Ministarstva kulture i Virovitičko-podravske županije Pučkom otvorenom učilištu za opremanje male </w:t>
      </w:r>
      <w:proofErr w:type="spellStart"/>
      <w:r>
        <w:t>art</w:t>
      </w:r>
      <w:proofErr w:type="spellEnd"/>
      <w:r>
        <w:t xml:space="preserve"> dvorane,</w:t>
      </w:r>
    </w:p>
    <w:p w:rsidR="00DD5633" w:rsidRDefault="00DD5633" w:rsidP="00DD5633">
      <w:pPr>
        <w:numPr>
          <w:ilvl w:val="2"/>
          <w:numId w:val="3"/>
        </w:numPr>
        <w:jc w:val="both"/>
      </w:pPr>
      <w:r>
        <w:t>310.000,00 kuna od Ministarstva kulture Zavičajnom muzeju za adaptaciju prostora muzeja i program muzejsko-galerijske djelatnosti,</w:t>
      </w:r>
    </w:p>
    <w:p w:rsidR="00DD5633" w:rsidRDefault="00DD5633" w:rsidP="00DD5633">
      <w:pPr>
        <w:numPr>
          <w:ilvl w:val="2"/>
          <w:numId w:val="3"/>
        </w:numPr>
        <w:jc w:val="both"/>
      </w:pPr>
      <w:r>
        <w:t xml:space="preserve">8.000,00 kuna od Virovitičko-podravske županije Zavičajnom muzeju za tiskanje zbornika radova „Svećenik Julije </w:t>
      </w:r>
      <w:proofErr w:type="spellStart"/>
      <w:r>
        <w:t>Burger</w:t>
      </w:r>
      <w:proofErr w:type="spellEnd"/>
      <w:r>
        <w:t xml:space="preserve"> (1885.-1944.) i njegovo vrijeme”.</w:t>
      </w:r>
    </w:p>
    <w:p w:rsidR="00DD5633" w:rsidRDefault="00DD5633" w:rsidP="00DD5633">
      <w:pPr>
        <w:numPr>
          <w:ilvl w:val="1"/>
          <w:numId w:val="3"/>
        </w:numPr>
        <w:jc w:val="both"/>
      </w:pPr>
      <w:r>
        <w:rPr>
          <w:u w:val="single"/>
        </w:rPr>
        <w:t>AOP 056 kapitalne pomoći proračunu iz drugih  proračuna</w:t>
      </w:r>
      <w:r>
        <w:t xml:space="preserve"> u visini 601.347 kuna ili  1,3% više nego prošle godine , a ostvarene su:</w:t>
      </w:r>
    </w:p>
    <w:p w:rsidR="00DD5633" w:rsidRDefault="00DD5633" w:rsidP="00DD5633">
      <w:pPr>
        <w:numPr>
          <w:ilvl w:val="2"/>
          <w:numId w:val="3"/>
        </w:numPr>
        <w:jc w:val="both"/>
      </w:pPr>
      <w:r>
        <w:t>100.000,00 kuna od Ministarstva regionalnog razvoja i Fondova Europske unije iz Programa održivog razvoja lokalne zajednice za energetsku obnovu mjesnog doma Vladimir Nazor u Slatini.</w:t>
      </w:r>
    </w:p>
    <w:p w:rsidR="00DD5633" w:rsidRDefault="00DD5633" w:rsidP="00DD5633">
      <w:pPr>
        <w:numPr>
          <w:ilvl w:val="2"/>
          <w:numId w:val="3"/>
        </w:numPr>
        <w:jc w:val="both"/>
      </w:pPr>
      <w:r>
        <w:t xml:space="preserve">300.000,00 kuna od Ministarstva regionalnog razvoja i Fondova Europske unije za rekonstrukciju </w:t>
      </w:r>
      <w:proofErr w:type="spellStart"/>
      <w:r>
        <w:t>Štrosmayerove</w:t>
      </w:r>
      <w:proofErr w:type="spellEnd"/>
      <w:r>
        <w:t xml:space="preserve"> ulice u Slatini.</w:t>
      </w:r>
    </w:p>
    <w:p w:rsidR="00DD5633" w:rsidRDefault="00DD5633" w:rsidP="00DD5633">
      <w:pPr>
        <w:numPr>
          <w:ilvl w:val="2"/>
          <w:numId w:val="3"/>
        </w:numPr>
        <w:jc w:val="both"/>
      </w:pPr>
      <w:r>
        <w:t>100.000,00 kuna od Ministarstva gospodarstva i poduzetništva za nabavu komunalnog stroja.</w:t>
      </w:r>
    </w:p>
    <w:p w:rsidR="00DD5633" w:rsidRDefault="00DD5633" w:rsidP="00DD5633">
      <w:pPr>
        <w:numPr>
          <w:ilvl w:val="2"/>
          <w:numId w:val="3"/>
        </w:numPr>
        <w:jc w:val="both"/>
      </w:pPr>
      <w:r>
        <w:t xml:space="preserve">15.346,50 kuna od općina na ime pomoći za razvoj širokopojasnog </w:t>
      </w:r>
      <w:proofErr w:type="spellStart"/>
      <w:r>
        <w:t>interneta</w:t>
      </w:r>
      <w:proofErr w:type="spellEnd"/>
    </w:p>
    <w:p w:rsidR="00DD5633" w:rsidRDefault="00DD5633" w:rsidP="00DD5633">
      <w:pPr>
        <w:numPr>
          <w:ilvl w:val="2"/>
          <w:numId w:val="3"/>
        </w:numPr>
        <w:jc w:val="both"/>
      </w:pPr>
      <w:r>
        <w:t>86.000,00 kuna od Ministarstva kulture Gradskoj knjižnici i čitaonici za nabavu knjižne građe i uredske opreme.</w:t>
      </w:r>
    </w:p>
    <w:p w:rsidR="00DD5633" w:rsidRDefault="00DD5633" w:rsidP="00DD5633">
      <w:pPr>
        <w:numPr>
          <w:ilvl w:val="0"/>
          <w:numId w:val="3"/>
        </w:numPr>
        <w:jc w:val="both"/>
      </w:pPr>
      <w:r>
        <w:t>AOP  057 pod nazivom pomoći od izvanproračunskih korisnika, veće su 11,2% u odnosu na prošlu godinu. Ostvarene su u iznosu 1.482.202 kn kao:</w:t>
      </w:r>
    </w:p>
    <w:p w:rsidR="00DD5633" w:rsidRDefault="00DD5633" w:rsidP="00DD5633">
      <w:pPr>
        <w:numPr>
          <w:ilvl w:val="1"/>
          <w:numId w:val="3"/>
        </w:numPr>
        <w:jc w:val="both"/>
      </w:pPr>
      <w:r>
        <w:lastRenderedPageBreak/>
        <w:t>AOP 058 pod nazivom tekuće pomoći od izvanproračunskih korisnika, ostvarene su u visini od 1.414.059 kuna ili 232,9% više u odnosu na prošlu godinu, a ostvarene su:</w:t>
      </w:r>
    </w:p>
    <w:p w:rsidR="00DD5633" w:rsidRDefault="00DD5633" w:rsidP="00DD5633">
      <w:pPr>
        <w:numPr>
          <w:ilvl w:val="2"/>
          <w:numId w:val="3"/>
        </w:numPr>
        <w:jc w:val="both"/>
      </w:pPr>
      <w:r>
        <w:t>1.367.820,56 kuna od Hrvatskog zavoda za zapošljavanje za poticanje zapošljavanja radnika na javnim radovima u Gradu, odnose se na sredstva uplaćena za 45 zaposlenika, koji su radili u razdoblju od 15.5.-14.11.2017. godine i 13 zaposlenika koji su otpočeli sa radom 20. prosinca 2017. godine,</w:t>
      </w:r>
    </w:p>
    <w:p w:rsidR="00DD5633" w:rsidRDefault="00DD5633" w:rsidP="00DD5633">
      <w:pPr>
        <w:numPr>
          <w:ilvl w:val="2"/>
          <w:numId w:val="3"/>
        </w:numPr>
        <w:jc w:val="both"/>
      </w:pPr>
      <w:r>
        <w:t>7.057,92 kune od Hrvatskog zavoda za zapošljavanje za stručno osposobljavanje za rad bez zasnivanja radnog odnosa jedne osobe u Gradu,</w:t>
      </w:r>
    </w:p>
    <w:p w:rsidR="00DD5633" w:rsidRDefault="00DD5633" w:rsidP="00DD5633">
      <w:pPr>
        <w:numPr>
          <w:ilvl w:val="2"/>
          <w:numId w:val="3"/>
        </w:numPr>
        <w:jc w:val="both"/>
      </w:pPr>
      <w:r>
        <w:t>6.751 kuna od Hrvatskog zavoda za zapošljavanje Pučkom otvorenom učilištu za stručno osposobljavanje bez zasnivanja radnog odnosa,</w:t>
      </w:r>
    </w:p>
    <w:p w:rsidR="00DD5633" w:rsidRDefault="00DD5633" w:rsidP="00DD5633">
      <w:pPr>
        <w:numPr>
          <w:ilvl w:val="2"/>
          <w:numId w:val="3"/>
        </w:numPr>
        <w:jc w:val="both"/>
      </w:pPr>
      <w:r>
        <w:t>6.751 kunu od Hrvatskog zavoda za zapošljavanje Dječjem vrtiću „Zeko” za stručno osposobljavanje bez zasnivanja radnog odnosa,</w:t>
      </w:r>
    </w:p>
    <w:p w:rsidR="00DD5633" w:rsidRDefault="00DD5633" w:rsidP="00DD5633">
      <w:pPr>
        <w:numPr>
          <w:ilvl w:val="2"/>
          <w:numId w:val="3"/>
        </w:numPr>
        <w:jc w:val="both"/>
      </w:pPr>
      <w:r>
        <w:t>7.057 kuna od Hrvatskog zavoda za zapošljavanje Gradskoj knjižnici i čitaonici za stručno osposobljavanje bez zasnivanja radnog odnosa,</w:t>
      </w:r>
    </w:p>
    <w:p w:rsidR="00DD5633" w:rsidRDefault="00DD5633" w:rsidP="00DD5633">
      <w:pPr>
        <w:numPr>
          <w:ilvl w:val="2"/>
          <w:numId w:val="3"/>
        </w:numPr>
        <w:jc w:val="both"/>
      </w:pPr>
      <w:r>
        <w:t>18.621 kuna od Hrvatskog zavoda za zapošljavanje Javnoj vatrogasnoj postrojbi za stručno osposobljavanje bez zasnivanja radnog odnosa.</w:t>
      </w:r>
    </w:p>
    <w:p w:rsidR="00DD5633" w:rsidRDefault="00DD5633" w:rsidP="00DD5633">
      <w:pPr>
        <w:numPr>
          <w:ilvl w:val="1"/>
          <w:numId w:val="3"/>
        </w:numPr>
        <w:jc w:val="both"/>
      </w:pPr>
      <w:r>
        <w:t>AOP 059 kapitalne pomoći od izvanproračunskih korisnika ostvarene su u visini 68.143,36 kune ili 92,5% manje nego 2016. godine, a ostvarene su:</w:t>
      </w:r>
    </w:p>
    <w:p w:rsidR="00DD5633" w:rsidRDefault="00DD5633" w:rsidP="00DD5633">
      <w:pPr>
        <w:numPr>
          <w:ilvl w:val="2"/>
          <w:numId w:val="3"/>
        </w:numPr>
        <w:jc w:val="both"/>
      </w:pPr>
      <w:r>
        <w:t xml:space="preserve">68.143,36 kuna od Fonda za zaštitu okoliša i energetsku učinkovitost za sufinanciranje nabave radnog stroja </w:t>
      </w:r>
      <w:proofErr w:type="spellStart"/>
      <w:r>
        <w:t>kompaktora</w:t>
      </w:r>
      <w:proofErr w:type="spellEnd"/>
      <w:r>
        <w:t xml:space="preserve"> za Odlagalište otpada </w:t>
      </w:r>
      <w:proofErr w:type="spellStart"/>
      <w:r>
        <w:t>Radosavci</w:t>
      </w:r>
      <w:proofErr w:type="spellEnd"/>
      <w:r>
        <w:t>.</w:t>
      </w:r>
    </w:p>
    <w:p w:rsidR="00DD5633" w:rsidRDefault="00DD5633" w:rsidP="00DD5633">
      <w:pPr>
        <w:numPr>
          <w:ilvl w:val="0"/>
          <w:numId w:val="3"/>
        </w:numPr>
        <w:jc w:val="both"/>
      </w:pPr>
      <w:r>
        <w:t>AOP 060 pomoći za decentralizirane funkcije vatrogastva evidentirane su  u iznosu od 2.355.783,80 ili 1,0% manje u odnosu na prošlu godinu, a pristigle su u Proračun sukladno Odluci o minimalnim standardima za financiranje decentraliziranih funkcija vatrogastva u 2017. godini. Početkom 2017. godine Grad je primio iznos od 16.843,08 kuna pripadajućih sredstava za 2016. godinu, koja su obuhvaćena ovim izvještajem, do kraja godine uplaćeno je sveukupno 2.371.343,08 kuna.</w:t>
      </w:r>
    </w:p>
    <w:p w:rsidR="00DD5633" w:rsidRDefault="00DD5633" w:rsidP="00DD5633">
      <w:pPr>
        <w:numPr>
          <w:ilvl w:val="0"/>
          <w:numId w:val="3"/>
        </w:numPr>
        <w:jc w:val="both"/>
      </w:pPr>
      <w:r>
        <w:t>AOP 063 pomoći proračunskim korisnicima iz proračuna koji im nije nadležan evidentirane su u iznosu od 49.240 kuna kod Dječjeg vrtića „Zeko” a čine ih pomoći Ministarstva znanosti, obrazovanja i športa za projekt „Mala škola” i djecu s poteškoćama u razvoju.</w:t>
      </w:r>
    </w:p>
    <w:p w:rsidR="00DD5633" w:rsidRDefault="00DD5633" w:rsidP="00DD5633">
      <w:pPr>
        <w:jc w:val="both"/>
        <w:rPr>
          <w:u w:val="single"/>
        </w:rPr>
      </w:pPr>
    </w:p>
    <w:p w:rsidR="00DD5633" w:rsidRDefault="00DD5633" w:rsidP="00DD5633">
      <w:pPr>
        <w:jc w:val="both"/>
      </w:pPr>
      <w:r>
        <w:rPr>
          <w:u w:val="single"/>
        </w:rPr>
        <w:t xml:space="preserve">Bilješka broj 4. vezana za AOP oznaku 074 Prihodi od imovine </w:t>
      </w:r>
    </w:p>
    <w:p w:rsidR="00DD5633" w:rsidRDefault="00DD5633" w:rsidP="00DD5633">
      <w:pPr>
        <w:jc w:val="both"/>
        <w:rPr>
          <w:u w:val="single"/>
        </w:rPr>
      </w:pPr>
    </w:p>
    <w:p w:rsidR="00DD5633" w:rsidRDefault="00DD5633" w:rsidP="00DD5633">
      <w:pPr>
        <w:jc w:val="both"/>
      </w:pPr>
      <w:r>
        <w:t>Prihodi od imovine ostvareni su</w:t>
      </w:r>
      <w:r>
        <w:rPr>
          <w:b/>
        </w:rPr>
        <w:t xml:space="preserve"> </w:t>
      </w:r>
      <w:r>
        <w:t>2,3% manje nego prošle godine.  Unutar ove grupe prihoda evidentirane su promjene u  odnosu na isto razdoblje prošle godine kod:</w:t>
      </w:r>
    </w:p>
    <w:p w:rsidR="00DD5633" w:rsidRDefault="00DD5633" w:rsidP="00DD5633">
      <w:pPr>
        <w:numPr>
          <w:ilvl w:val="0"/>
          <w:numId w:val="3"/>
        </w:numPr>
        <w:jc w:val="both"/>
      </w:pPr>
      <w:r>
        <w:t>AOP 075 prihoda od financijske imovine koji su ostvareni 62,8% manje nego prošle godine, ili u iznosu od 2.313,18 kuna, a odnose se na prihode od kamata, za oročena sredstva za Program Poduzetnik i depozite po viđenju  po računu Grada Slatine.</w:t>
      </w:r>
    </w:p>
    <w:p w:rsidR="00DD5633" w:rsidRDefault="00DD5633" w:rsidP="00DD5633">
      <w:pPr>
        <w:numPr>
          <w:ilvl w:val="0"/>
          <w:numId w:val="3"/>
        </w:numPr>
        <w:jc w:val="both"/>
      </w:pPr>
      <w:r>
        <w:t>AOP 083 prihoda od nefinancijske imovine manje ostvarenim 2,1% u odnosu na prošlu godinu, odstupanja u odnosu na prošlu godinu evidentirana su na:</w:t>
      </w:r>
    </w:p>
    <w:p w:rsidR="00DD5633" w:rsidRDefault="00DD5633" w:rsidP="00DD5633">
      <w:pPr>
        <w:numPr>
          <w:ilvl w:val="1"/>
          <w:numId w:val="10"/>
        </w:numPr>
        <w:jc w:val="both"/>
      </w:pPr>
      <w:r>
        <w:t>AOP 084 naknade za koncesije ostvarene su 3,</w:t>
      </w:r>
      <w:proofErr w:type="spellStart"/>
      <w:r>
        <w:t>3</w:t>
      </w:r>
      <w:proofErr w:type="spellEnd"/>
      <w:r>
        <w:t>% manje,</w:t>
      </w:r>
    </w:p>
    <w:p w:rsidR="00DD5633" w:rsidRDefault="00DD5633" w:rsidP="00DD5633">
      <w:pPr>
        <w:numPr>
          <w:ilvl w:val="1"/>
          <w:numId w:val="10"/>
        </w:numPr>
        <w:jc w:val="both"/>
      </w:pPr>
      <w:r>
        <w:t>AOP 085 prihoda od zakupa i iznajmljivanja imovine, koji sadrži prihode od zakupa zemljišta u vlasništvu  Grada  i zemljišta RH, prihode od iznajmljivanja garaža, stanova i poslovnih objekata,  ostvareni su 6,0% više,</w:t>
      </w:r>
    </w:p>
    <w:p w:rsidR="00DD5633" w:rsidRDefault="00DD5633" w:rsidP="00DD5633">
      <w:pPr>
        <w:numPr>
          <w:ilvl w:val="1"/>
          <w:numId w:val="10"/>
        </w:numPr>
        <w:jc w:val="both"/>
      </w:pPr>
      <w:r>
        <w:t xml:space="preserve">AOP 086  naknade za korištenje nefinancijske imovine, sadrže: prihode od eksploatacije mineralnih sirovina, naknade za istraživanje mineralnih sirovina, </w:t>
      </w:r>
      <w:r>
        <w:lastRenderedPageBreak/>
        <w:t xml:space="preserve">prihoda od spomeničke rente, prihode od naknada za korištenje javne gradske površine i prihode od naplate parkiranja, ostvareni su 4,2% više, </w:t>
      </w:r>
    </w:p>
    <w:p w:rsidR="00DD5633" w:rsidRDefault="00DD5633" w:rsidP="00DD5633">
      <w:pPr>
        <w:numPr>
          <w:ilvl w:val="1"/>
          <w:numId w:val="10"/>
        </w:numPr>
        <w:jc w:val="both"/>
      </w:pPr>
      <w:r>
        <w:t xml:space="preserve">AOP 089  ostali prihodi od nefinancijske imovine ostvareni su 42,7% manje nego prošle godine, a odnose se na prihode od naknade za nezakonito izgrađene zgrade u prostoru. </w:t>
      </w:r>
    </w:p>
    <w:p w:rsidR="00987C69" w:rsidRDefault="00987C69" w:rsidP="00DD5633">
      <w:pPr>
        <w:jc w:val="both"/>
        <w:rPr>
          <w:u w:val="single"/>
        </w:rPr>
      </w:pPr>
    </w:p>
    <w:p w:rsidR="00DD5633" w:rsidRDefault="00DD5633" w:rsidP="00DD5633">
      <w:pPr>
        <w:jc w:val="both"/>
      </w:pPr>
      <w:r>
        <w:rPr>
          <w:u w:val="single"/>
        </w:rPr>
        <w:t>Bilješka broj 5. vezana za AOP oznaku 105 Prihodi od upravnih i administrativnih pristojbi, pristojbi po posebnim propisima i naknada</w:t>
      </w:r>
    </w:p>
    <w:p w:rsidR="00DD5633" w:rsidRDefault="00DD5633" w:rsidP="00DD5633">
      <w:pPr>
        <w:jc w:val="both"/>
        <w:rPr>
          <w:u w:val="single"/>
        </w:rPr>
      </w:pPr>
    </w:p>
    <w:p w:rsidR="00DD5633" w:rsidRDefault="00DD5633" w:rsidP="00DD5633">
      <w:pPr>
        <w:jc w:val="both"/>
      </w:pPr>
      <w:r>
        <w:t xml:space="preserve">Prihodi od upravnih i administrativnih pristojbi, pristojbi po posebnim propisima i naknada ostvareni su 7,5% manje u odnosu na prošlu godinu, a sadrže: </w:t>
      </w:r>
    </w:p>
    <w:p w:rsidR="00DD5633" w:rsidRDefault="00DD5633" w:rsidP="00DD5633">
      <w:pPr>
        <w:numPr>
          <w:ilvl w:val="0"/>
          <w:numId w:val="3"/>
        </w:numPr>
        <w:jc w:val="both"/>
      </w:pPr>
      <w:r>
        <w:t>AOP 106 Upravne i administrativne pristojbe ostvarene 33,1% manje u odnosu na prošlu godinu, a odnose se na prihode od prodaje državnih biljega,</w:t>
      </w:r>
    </w:p>
    <w:p w:rsidR="00DD5633" w:rsidRDefault="00DD5633" w:rsidP="00DD5633">
      <w:pPr>
        <w:numPr>
          <w:ilvl w:val="0"/>
          <w:numId w:val="3"/>
        </w:numPr>
        <w:jc w:val="both"/>
      </w:pPr>
      <w:r>
        <w:t xml:space="preserve"> AOP 111 Prihodi po posebnim propisima</w:t>
      </w:r>
      <w:r>
        <w:rPr>
          <w:b/>
        </w:rPr>
        <w:t xml:space="preserve"> </w:t>
      </w:r>
      <w:r>
        <w:t xml:space="preserve"> ostvareni su 10,7% manje u odnosu na prošlu godinu. Rezultat su 9,5% manje naplaćenih prihoda od vodnog gospodarstva AOP 113, više naplaćenih prihoda od doprinosa za šume 11,8% AOP 114,</w:t>
      </w:r>
      <w:r>
        <w:rPr>
          <w:b/>
        </w:rPr>
        <w:t xml:space="preserve"> </w:t>
      </w:r>
      <w:r>
        <w:t>zatim 234,00 kuna više naplaćenih prihoda državne uprave AOP 112,</w:t>
      </w:r>
      <w:r>
        <w:rPr>
          <w:b/>
        </w:rPr>
        <w:t xml:space="preserve"> </w:t>
      </w:r>
      <w:r>
        <w:t xml:space="preserve">te  22,1% manje naplaćenih ostalih prihoda evidentiranih na AOP 116 među kojima su prihodi koji su Gradu uplaćeni kao povrat sredstava i to: prihodi ostvareni od refundacije troškova potrošnje struje i plina, koje je Grad platio za dio poslovnog prostora koji koriste Osnovna glazbena škola u Slatini i </w:t>
      </w:r>
      <w:proofErr w:type="spellStart"/>
      <w:r>
        <w:t>Komrad</w:t>
      </w:r>
      <w:proofErr w:type="spellEnd"/>
      <w:r>
        <w:t xml:space="preserve"> d.o.o. Slatina, prihode od refundacije troškova za službene mobitele iznad visine odobrenog iznosa, prihoda od naknade štete od </w:t>
      </w:r>
      <w:proofErr w:type="spellStart"/>
      <w:r>
        <w:t>osiguravateljnih</w:t>
      </w:r>
      <w:proofErr w:type="spellEnd"/>
      <w:r>
        <w:t xml:space="preserve"> kuća za oštećenu gradsku imovinu, prihoda od povrata stipendija,  prihoda po odobrenim reklamacijama troškova dobavljača od kojih se najveći iznos odnosi na tvrtku za isporuku električne energije te 3,</w:t>
      </w:r>
      <w:proofErr w:type="spellStart"/>
      <w:r>
        <w:t>3</w:t>
      </w:r>
      <w:proofErr w:type="spellEnd"/>
      <w:r>
        <w:t>% manje ostvarenog prihoda Dječjeg vrtića „Zeko” od participacije cijene usluge smještaja.</w:t>
      </w:r>
    </w:p>
    <w:p w:rsidR="00DD5633" w:rsidRDefault="00DD5633" w:rsidP="00DD5633">
      <w:pPr>
        <w:numPr>
          <w:ilvl w:val="0"/>
          <w:numId w:val="3"/>
        </w:numPr>
        <w:jc w:val="both"/>
      </w:pPr>
      <w:r>
        <w:t>AOP 119 Komunalni doprinosi i naknade</w:t>
      </w:r>
      <w:r>
        <w:rPr>
          <w:b/>
        </w:rPr>
        <w:t xml:space="preserve"> </w:t>
      </w:r>
      <w:r>
        <w:t xml:space="preserve">– ostvareni su  5,0% manje u odnosu na prošlu godinu, a rezultat su 31,9% manje naplaćenih prihoda komunalnog doprinosa, 8,5% više naplaćenog prihoda od komunalne naknade. </w:t>
      </w:r>
    </w:p>
    <w:p w:rsidR="00987C69" w:rsidRPr="00987C69" w:rsidRDefault="00987C69" w:rsidP="00987C69">
      <w:pPr>
        <w:jc w:val="both"/>
        <w:rPr>
          <w:u w:val="single"/>
        </w:rPr>
      </w:pPr>
    </w:p>
    <w:p w:rsidR="00987C69" w:rsidRDefault="00987C69" w:rsidP="00987C69">
      <w:pPr>
        <w:jc w:val="both"/>
        <w:rPr>
          <w:u w:val="single"/>
        </w:rPr>
      </w:pPr>
      <w:r w:rsidRPr="00987C69">
        <w:rPr>
          <w:u w:val="single"/>
        </w:rPr>
        <w:t xml:space="preserve">Bilješka broj </w:t>
      </w:r>
      <w:r>
        <w:rPr>
          <w:u w:val="single"/>
        </w:rPr>
        <w:t>6</w:t>
      </w:r>
      <w:r w:rsidRPr="00987C69">
        <w:rPr>
          <w:u w:val="single"/>
        </w:rPr>
        <w:t>. vezana za AOP oznaku 1</w:t>
      </w:r>
      <w:r>
        <w:rPr>
          <w:u w:val="single"/>
        </w:rPr>
        <w:t>23</w:t>
      </w:r>
      <w:r w:rsidRPr="00987C69">
        <w:rPr>
          <w:u w:val="single"/>
        </w:rPr>
        <w:t xml:space="preserve"> Prihodi od prodaje proizvoda i roba te pruženih usluga i prihodi od donacija</w:t>
      </w:r>
    </w:p>
    <w:p w:rsidR="00987C69" w:rsidRPr="00987C69" w:rsidRDefault="00987C69" w:rsidP="00987C69">
      <w:pPr>
        <w:jc w:val="both"/>
        <w:rPr>
          <w:u w:val="single"/>
        </w:rPr>
      </w:pPr>
    </w:p>
    <w:p w:rsidR="00DD5633" w:rsidRDefault="00DD5633" w:rsidP="00987C69">
      <w:pPr>
        <w:jc w:val="both"/>
      </w:pPr>
      <w:r>
        <w:t>Prihodi od prodaje proizvoda i roba te pruženih usluga i prihodi od donacija,</w:t>
      </w:r>
      <w:r w:rsidRPr="00987C69">
        <w:rPr>
          <w:b/>
        </w:rPr>
        <w:t xml:space="preserve"> </w:t>
      </w:r>
      <w:r>
        <w:t xml:space="preserve"> ostvareni su 5,4% manje u odnosu na prošlu godinu ili 54.197 kuna manje. Ostvareni su od donacija, u visini od 7.000,00 kuna za obilježavanje značajnih datuma, 5.000,00 kuna za uređenje dječjih igrališta i 18.000,00 kuna za sufinanciranje izdavanja knjige pod nazivom „Slatinska ratna kronika“ te u iznosu od 910.713 kuna prihoda od pruženih usluga proračunskih korisnika.</w:t>
      </w:r>
    </w:p>
    <w:p w:rsidR="00987C69" w:rsidRDefault="00987C69" w:rsidP="00987C69">
      <w:pPr>
        <w:jc w:val="both"/>
        <w:rPr>
          <w:u w:val="single"/>
        </w:rPr>
      </w:pPr>
    </w:p>
    <w:p w:rsidR="00987C69" w:rsidRDefault="00987C69" w:rsidP="00987C69">
      <w:pPr>
        <w:jc w:val="both"/>
        <w:rPr>
          <w:u w:val="single"/>
        </w:rPr>
      </w:pPr>
      <w:r w:rsidRPr="00987C69">
        <w:rPr>
          <w:u w:val="single"/>
        </w:rPr>
        <w:t xml:space="preserve">Bilješka broj </w:t>
      </w:r>
      <w:r>
        <w:rPr>
          <w:u w:val="single"/>
        </w:rPr>
        <w:t>7</w:t>
      </w:r>
      <w:r w:rsidRPr="00987C69">
        <w:rPr>
          <w:u w:val="single"/>
        </w:rPr>
        <w:t>. vezana za AOP oznaku 1</w:t>
      </w:r>
      <w:r>
        <w:rPr>
          <w:u w:val="single"/>
        </w:rPr>
        <w:t>31</w:t>
      </w:r>
      <w:r w:rsidRPr="00987C69">
        <w:rPr>
          <w:u w:val="single"/>
        </w:rPr>
        <w:t xml:space="preserve"> Prihodi </w:t>
      </w:r>
      <w:r>
        <w:rPr>
          <w:u w:val="single"/>
        </w:rPr>
        <w:t>iz nadležnog proračuna za financiranje redovne djelatnosti proračunskih korisnika</w:t>
      </w:r>
    </w:p>
    <w:p w:rsidR="00987C69" w:rsidRDefault="00987C69" w:rsidP="00987C69">
      <w:pPr>
        <w:jc w:val="both"/>
        <w:rPr>
          <w:u w:val="single"/>
        </w:rPr>
      </w:pPr>
    </w:p>
    <w:p w:rsidR="00987C69" w:rsidRDefault="00987C69" w:rsidP="00987C69">
      <w:pPr>
        <w:jc w:val="both"/>
      </w:pPr>
      <w:r w:rsidRPr="00987C69">
        <w:t>Prihodi iz</w:t>
      </w:r>
      <w:r>
        <w:t xml:space="preserve"> nadležnog proračuna eliminirani su iz izvještaja u ukupnom iznosu od 7.327</w:t>
      </w:r>
      <w:r w:rsidR="001E50CC">
        <w:t xml:space="preserve">.854 kune, za prihode koje su proračunski korisnici Grada ostvarili iz nadležnog proračuna, opisani  </w:t>
      </w:r>
      <w:r w:rsidR="001E50CC" w:rsidRPr="00DF2BB4">
        <w:t>su detaljnije uz Bilješk</w:t>
      </w:r>
      <w:r w:rsidR="00DF2BB4" w:rsidRPr="00DF2BB4">
        <w:t>u broj 24 v</w:t>
      </w:r>
      <w:r w:rsidR="001E50CC" w:rsidRPr="00DF2BB4">
        <w:t>ezanu za AOP 632.</w:t>
      </w:r>
    </w:p>
    <w:p w:rsidR="001E50CC" w:rsidRDefault="001E50CC" w:rsidP="00987C69">
      <w:pPr>
        <w:jc w:val="both"/>
      </w:pPr>
    </w:p>
    <w:p w:rsidR="001E50CC" w:rsidRDefault="001E50CC" w:rsidP="001E50CC">
      <w:pPr>
        <w:jc w:val="both"/>
        <w:rPr>
          <w:u w:val="single"/>
        </w:rPr>
      </w:pPr>
      <w:r w:rsidRPr="00987C69">
        <w:rPr>
          <w:u w:val="single"/>
        </w:rPr>
        <w:t xml:space="preserve">Bilješka broj </w:t>
      </w:r>
      <w:r>
        <w:rPr>
          <w:u w:val="single"/>
        </w:rPr>
        <w:t>8</w:t>
      </w:r>
      <w:r w:rsidRPr="00987C69">
        <w:rPr>
          <w:u w:val="single"/>
        </w:rPr>
        <w:t>. vezana za AOP oznaku 1</w:t>
      </w:r>
      <w:r>
        <w:rPr>
          <w:u w:val="single"/>
        </w:rPr>
        <w:t>36</w:t>
      </w:r>
      <w:r w:rsidRPr="00987C69">
        <w:rPr>
          <w:u w:val="single"/>
        </w:rPr>
        <w:t xml:space="preserve"> </w:t>
      </w:r>
      <w:r>
        <w:rPr>
          <w:u w:val="single"/>
        </w:rPr>
        <w:t xml:space="preserve">Kazne, upravne mjere i ostali prihodi </w:t>
      </w:r>
    </w:p>
    <w:p w:rsidR="00DD5633" w:rsidRDefault="00DD5633" w:rsidP="001E50CC">
      <w:pPr>
        <w:jc w:val="both"/>
      </w:pPr>
      <w:r>
        <w:t>Kazne, upravne mjere i ostali prihodi, ostvarene su 46,6% manje u odnosu na prošlu godinu, a rezultat su troškova nastalih provođenjem ovršnih postupaka, prilikom naplate potraživanja.</w:t>
      </w:r>
    </w:p>
    <w:p w:rsidR="00DD5633" w:rsidRDefault="00DD5633" w:rsidP="00DD5633">
      <w:pPr>
        <w:jc w:val="both"/>
      </w:pPr>
      <w:r>
        <w:rPr>
          <w:u w:val="single"/>
        </w:rPr>
        <w:t xml:space="preserve">Bilješka broj </w:t>
      </w:r>
      <w:r w:rsidR="00DF2BB4">
        <w:rPr>
          <w:u w:val="single"/>
        </w:rPr>
        <w:t>9</w:t>
      </w:r>
      <w:r>
        <w:rPr>
          <w:u w:val="single"/>
        </w:rPr>
        <w:t xml:space="preserve">. vezana za AOP oznaku 148 Rashodi poslovanja </w:t>
      </w:r>
    </w:p>
    <w:p w:rsidR="00DD5633" w:rsidRDefault="00DD5633" w:rsidP="00DD5633">
      <w:pPr>
        <w:jc w:val="both"/>
        <w:rPr>
          <w:u w:val="single"/>
        </w:rPr>
      </w:pPr>
    </w:p>
    <w:p w:rsidR="00DD5633" w:rsidRDefault="00DD5633" w:rsidP="00DD5633">
      <w:pPr>
        <w:jc w:val="both"/>
      </w:pPr>
      <w:r>
        <w:t>Rashodi poslovanja ostvareni su 18,1% više u odnosu na prošlu godinu. Na povećanje rashoda poslovanja utjecali su više ostvareni rashodi za zaposlene, više ostvareni materijalni rashodi, manje ostvareni financijski rashodi, manje ostvarene subvencije, manje ostvarene pomoći dane u inozemstvo i unutar općeg proračuna, više ostvarene naknade građanima i kućanstvima na temelju osiguranja i druge naknade te više ostvareni ostali rashodi.</w:t>
      </w:r>
    </w:p>
    <w:p w:rsidR="0020673B" w:rsidRDefault="0020673B" w:rsidP="00DD5633">
      <w:pPr>
        <w:jc w:val="both"/>
        <w:rPr>
          <w:u w:val="single"/>
        </w:rPr>
      </w:pPr>
    </w:p>
    <w:p w:rsidR="00DD5633" w:rsidRDefault="00DD5633" w:rsidP="00DD5633">
      <w:pPr>
        <w:jc w:val="both"/>
      </w:pPr>
      <w:r>
        <w:rPr>
          <w:u w:val="single"/>
        </w:rPr>
        <w:t xml:space="preserve">Bilješka broj </w:t>
      </w:r>
      <w:r w:rsidR="00DF2BB4">
        <w:rPr>
          <w:u w:val="single"/>
        </w:rPr>
        <w:t>10.</w:t>
      </w:r>
      <w:r>
        <w:rPr>
          <w:u w:val="single"/>
        </w:rPr>
        <w:t xml:space="preserve"> vezana za AOP oznaku 149 Rashodi za zaposlene </w:t>
      </w:r>
    </w:p>
    <w:p w:rsidR="00DD5633" w:rsidRDefault="00DD5633" w:rsidP="00DD5633">
      <w:pPr>
        <w:jc w:val="both"/>
        <w:rPr>
          <w:u w:val="single"/>
        </w:rPr>
      </w:pPr>
    </w:p>
    <w:p w:rsidR="00DD5633" w:rsidRDefault="00DD5633" w:rsidP="00DD5633">
      <w:pPr>
        <w:jc w:val="both"/>
      </w:pPr>
      <w:r>
        <w:t>Rashodi za zaposlene ostvareni su 13,8% više nego prošle godine, odstupanja u odnosu na prošlu godinu, zabilježena s na:</w:t>
      </w:r>
    </w:p>
    <w:p w:rsidR="00DD5633" w:rsidRDefault="00DD5633" w:rsidP="00DD5633">
      <w:pPr>
        <w:numPr>
          <w:ilvl w:val="0"/>
          <w:numId w:val="2"/>
        </w:numPr>
        <w:jc w:val="both"/>
      </w:pPr>
      <w:r>
        <w:t>AOP 150 Plaće (bruto)</w:t>
      </w:r>
      <w:r>
        <w:rPr>
          <w:b/>
        </w:rPr>
        <w:t>,</w:t>
      </w:r>
      <w:r>
        <w:t xml:space="preserve"> ostvarene su 15,3 % više u odnosu na prošlu godinu, tijekom koje je došlo do primjene nove odluke o koeficijentima za obračun plaća, a evidentiran je i veći broj zaposlenika  u odnosu na 2016. godinu,</w:t>
      </w:r>
    </w:p>
    <w:p w:rsidR="00DD5633" w:rsidRDefault="00DD5633" w:rsidP="00DD5633">
      <w:pPr>
        <w:numPr>
          <w:ilvl w:val="0"/>
          <w:numId w:val="2"/>
        </w:numPr>
        <w:jc w:val="both"/>
      </w:pPr>
      <w:r>
        <w:t>AOP 155 Ostali rashodi za zaposlene,</w:t>
      </w:r>
      <w:r>
        <w:rPr>
          <w:b/>
        </w:rPr>
        <w:t xml:space="preserve"> </w:t>
      </w:r>
      <w:r>
        <w:t xml:space="preserve"> ostvareni su 7,</w:t>
      </w:r>
      <w:proofErr w:type="spellStart"/>
      <w:r>
        <w:t>7</w:t>
      </w:r>
      <w:proofErr w:type="spellEnd"/>
      <w:r>
        <w:t>% manje u odnosu na prošlu godinu, a rezultat su isplaćenih prava iz Kolektivnog ugovora i ostale naknade službenicima Grada i proračunskih korisnika,</w:t>
      </w:r>
    </w:p>
    <w:p w:rsidR="00DD5633" w:rsidRDefault="00DD5633" w:rsidP="00DD5633">
      <w:pPr>
        <w:numPr>
          <w:ilvl w:val="0"/>
          <w:numId w:val="2"/>
        </w:numPr>
        <w:jc w:val="both"/>
      </w:pPr>
      <w:r>
        <w:t>AOP156 Doprinosi na plaće, ostvareni su 12,7% više nego prošle godine, a isplaćeni su sukladno važećim zakonskim propisima.</w:t>
      </w:r>
    </w:p>
    <w:p w:rsidR="00DD5633" w:rsidRDefault="00DD5633" w:rsidP="00DD5633">
      <w:pPr>
        <w:jc w:val="both"/>
        <w:rPr>
          <w:u w:val="single"/>
        </w:rPr>
      </w:pPr>
    </w:p>
    <w:p w:rsidR="00DD5633" w:rsidRDefault="00DD5633" w:rsidP="00DD5633">
      <w:pPr>
        <w:jc w:val="both"/>
      </w:pPr>
      <w:r>
        <w:rPr>
          <w:u w:val="single"/>
        </w:rPr>
        <w:t xml:space="preserve">Bilješka broj </w:t>
      </w:r>
      <w:r w:rsidR="00DF2BB4">
        <w:rPr>
          <w:u w:val="single"/>
        </w:rPr>
        <w:t>11</w:t>
      </w:r>
      <w:r>
        <w:rPr>
          <w:u w:val="single"/>
        </w:rPr>
        <w:t>. vezana za AOP oznaku 160 Materijalni rashodi</w:t>
      </w:r>
    </w:p>
    <w:p w:rsidR="00DD5633" w:rsidRDefault="00DD5633" w:rsidP="00DD5633">
      <w:pPr>
        <w:jc w:val="both"/>
        <w:rPr>
          <w:u w:val="single"/>
        </w:rPr>
      </w:pPr>
    </w:p>
    <w:p w:rsidR="00DD5633" w:rsidRDefault="00DD5633" w:rsidP="00DD5633">
      <w:pPr>
        <w:jc w:val="both"/>
      </w:pPr>
      <w:r>
        <w:t>Materijalni rashodi ostvareni su 30,6% više nego prošle godine, određene skupine rashoda ostvarene su sa odstupanjima i to:</w:t>
      </w:r>
      <w:r>
        <w:rPr>
          <w:u w:val="single"/>
        </w:rPr>
        <w:t xml:space="preserve"> </w:t>
      </w:r>
    </w:p>
    <w:p w:rsidR="00DD5633" w:rsidRDefault="00DD5633" w:rsidP="00DD5633">
      <w:pPr>
        <w:numPr>
          <w:ilvl w:val="0"/>
          <w:numId w:val="2"/>
        </w:numPr>
        <w:jc w:val="both"/>
      </w:pPr>
      <w:r>
        <w:t>AOP 161 Naknade troškova zaposlenima, ostvarene su 0,4% više u odnosu na prošlu godinu, zbog viših izdataka za službena putovanja 0,9%, manje ostvarene naknade za prijevoz na rad 5%, zatim većih izdataka za stručno usavršavanje zaposlenika 27,5% i manjih ostalih naknada troškova zaposlenicima 78,3% u iznosu od 548,00 kuna, koji se odnose na upotrebu privatnog automobila u službene svrhe u odnosu na prošlu godinu,</w:t>
      </w:r>
    </w:p>
    <w:p w:rsidR="00DD5633" w:rsidRDefault="00DD5633" w:rsidP="00DD5633">
      <w:pPr>
        <w:numPr>
          <w:ilvl w:val="0"/>
          <w:numId w:val="2"/>
        </w:numPr>
        <w:jc w:val="both"/>
      </w:pPr>
      <w:r>
        <w:t>AOP 166 Rashodi za materijal i energiju, ostvareni su 9,1% više u odnosu na prošlu godinu, zbog većih izdataka za: uredski materijal 24%, materijal i sirovine 1,4%, sitan inventar i auto gume 54,6%, materijal i dijelove za tekuće i investicijsko održavanje 96,2% i izdataka za nabavu službene i zaštitne odjeće i obuće 244,3% te manjih izdataka  energiju 1,8%,</w:t>
      </w:r>
    </w:p>
    <w:p w:rsidR="00DD5633" w:rsidRDefault="00DD5633" w:rsidP="00DD5633">
      <w:pPr>
        <w:numPr>
          <w:ilvl w:val="0"/>
          <w:numId w:val="2"/>
        </w:numPr>
        <w:jc w:val="both"/>
      </w:pPr>
      <w:r>
        <w:t>AOP 174 Rashodi za usluge, ostvareni su 43,2% više, a unutar ove grupe rashoda značajnije odstupanje na više nalazimo kod usluga tekućeg i investicijskog održavanja 88,6%, usluga telefona, pošte 5,2%, usluga promidžbe i informiranja 7,5%, komunalnih usluga 13,1%, usluga zakupnine i najamnine 34,3%, zdravstvenih i veterinarskih usluga 2,6%, računalnih usluga 30,9% te ostalih usluga 3,</w:t>
      </w:r>
      <w:proofErr w:type="spellStart"/>
      <w:r>
        <w:t>3</w:t>
      </w:r>
      <w:proofErr w:type="spellEnd"/>
      <w:r>
        <w:t>%, dok su intelektualne usluge manje u odnosu na prošlu godinu za 21,1%,</w:t>
      </w:r>
    </w:p>
    <w:p w:rsidR="00DD5633" w:rsidRDefault="00DD5633" w:rsidP="00DD5633">
      <w:pPr>
        <w:numPr>
          <w:ilvl w:val="0"/>
          <w:numId w:val="2"/>
        </w:numPr>
        <w:jc w:val="both"/>
      </w:pPr>
      <w:r>
        <w:t xml:space="preserve"> AOP 184 Naknade troškova osobama izvan radnog odnosa, ostvarene su 71,4% manje  u odnosu na prošlu godinu, a rezultat su manjih  izdvajanja za mirovinsko osiguranje za vježbenike koji rade bez zasnivanja radnog odnosa, uslijed manjeg broja vježbenika u odnosu prošlu godinu, zbog ograničenja u zapošljavanju koje je uveo Hrvatski zavod za zapošljavanje.</w:t>
      </w:r>
    </w:p>
    <w:p w:rsidR="00DD5633" w:rsidRDefault="00DD5633" w:rsidP="00DD5633">
      <w:pPr>
        <w:numPr>
          <w:ilvl w:val="0"/>
          <w:numId w:val="2"/>
        </w:numPr>
        <w:jc w:val="both"/>
      </w:pPr>
      <w:r>
        <w:t xml:space="preserve">AOP 185 Ostali nespomenuti rashodi poslovanja, ostvareni su 30,3 % više u odnosu na prošlu godinu, sadrže: rashode za lokalne izbore kojih nije bilo 2016. u visini 485.409,47 kuna, zatim rashoda za premije osiguranja više ostvarene 7,6%, rashode za reprezentaciju više ostvarene 3,6%, članarine Udruzi Gradova i članarinu koja se od </w:t>
      </w:r>
      <w:r>
        <w:lastRenderedPageBreak/>
        <w:t xml:space="preserve">2016. godine plaća Lokalnoj akcijskoj grupi </w:t>
      </w:r>
      <w:proofErr w:type="spellStart"/>
      <w:r>
        <w:t>Marinianis</w:t>
      </w:r>
      <w:proofErr w:type="spellEnd"/>
      <w:r>
        <w:t xml:space="preserve"> Slatina više ostvarene 2,</w:t>
      </w:r>
      <w:proofErr w:type="spellStart"/>
      <w:r>
        <w:t>2</w:t>
      </w:r>
      <w:proofErr w:type="spellEnd"/>
      <w:r>
        <w:t>%, te 62,1% više ostvarenih ostalih nespomenutih rashoda, koji uključuje rashode za razne gradske manifestacije i sufinanciranje projekta Slatina u Domovinskom ratu i znanstvenog projekta „Slatinska ratna kronika“ , dok su manje ostvareni rashodi za naknade za rad predstavničkih i izvršnih tijela 13,2% i pristojbe i naknade 5,3%.</w:t>
      </w:r>
    </w:p>
    <w:p w:rsidR="00DD5633" w:rsidRDefault="00DD5633" w:rsidP="00DD5633">
      <w:pPr>
        <w:ind w:left="360"/>
        <w:jc w:val="both"/>
      </w:pPr>
      <w:r>
        <w:rPr>
          <w:u w:val="single"/>
        </w:rPr>
        <w:t xml:space="preserve"> </w:t>
      </w:r>
    </w:p>
    <w:p w:rsidR="00DD5633" w:rsidRDefault="00DD5633" w:rsidP="00DD5633">
      <w:pPr>
        <w:jc w:val="both"/>
      </w:pPr>
      <w:r>
        <w:rPr>
          <w:u w:val="single"/>
        </w:rPr>
        <w:t xml:space="preserve">Bilješka broj </w:t>
      </w:r>
      <w:r w:rsidR="00DF2BB4">
        <w:rPr>
          <w:u w:val="single"/>
        </w:rPr>
        <w:t>12</w:t>
      </w:r>
      <w:r>
        <w:rPr>
          <w:u w:val="single"/>
        </w:rPr>
        <w:t>. vezana za AOP oznaku 193 Financijski rashodi</w:t>
      </w:r>
    </w:p>
    <w:p w:rsidR="00DD5633" w:rsidRDefault="00DD5633" w:rsidP="00DD5633">
      <w:pPr>
        <w:jc w:val="both"/>
        <w:rPr>
          <w:u w:val="single"/>
        </w:rPr>
      </w:pPr>
    </w:p>
    <w:p w:rsidR="00DD5633" w:rsidRDefault="00DD5633" w:rsidP="00DD5633">
      <w:pPr>
        <w:jc w:val="both"/>
      </w:pPr>
      <w:r>
        <w:t>Financijski rashodi manji su 24,5% u odnosu na prošlu godinu, na smanjenje ove vrste rashoda najveći utjecaj imale su manje kamate 24,3% za realizirane kredite u odnosu na prošlu godinu , zatim 28,3% manja negativna tečajna razlika zbog primjena efekta valutne klauzule i konačne otplate kredita sa valutnom klauzulom za koji je zadnja rata uplaćena 1.9.2017. godine, manje ostvarene bankarske usluge i usluge platnog prometa za 1,8% te više ostvarene zatezne kamate u  iznosu od 2.006,00 kuna.</w:t>
      </w:r>
    </w:p>
    <w:p w:rsidR="00DF2BB4" w:rsidRDefault="00DF2BB4" w:rsidP="00DD5633">
      <w:pPr>
        <w:jc w:val="both"/>
      </w:pPr>
    </w:p>
    <w:p w:rsidR="00DD5633" w:rsidRDefault="00DD5633" w:rsidP="00DD5633">
      <w:pPr>
        <w:jc w:val="both"/>
      </w:pPr>
      <w:r>
        <w:rPr>
          <w:u w:val="single"/>
        </w:rPr>
        <w:t>Bilješka broj 1</w:t>
      </w:r>
      <w:r w:rsidR="00DF2BB4">
        <w:rPr>
          <w:u w:val="single"/>
        </w:rPr>
        <w:t>3</w:t>
      </w:r>
      <w:r>
        <w:rPr>
          <w:u w:val="single"/>
        </w:rPr>
        <w:t>. vezana za AOP oznaku 212 Subvencije</w:t>
      </w:r>
    </w:p>
    <w:p w:rsidR="00DD5633" w:rsidRDefault="00DD5633" w:rsidP="00DD5633">
      <w:pPr>
        <w:jc w:val="both"/>
        <w:rPr>
          <w:u w:val="single"/>
        </w:rPr>
      </w:pPr>
    </w:p>
    <w:p w:rsidR="00DD5633" w:rsidRDefault="00DD5633" w:rsidP="00DD5633">
      <w:pPr>
        <w:jc w:val="both"/>
      </w:pPr>
      <w:r>
        <w:t>Subvencije su ostvarene 51,9% manje nego prošle godine, rezultat su danih subvencija trgovačkim društvima izvan javnog sektora Dječjem vrtiću „Suncokret“ Slatina  u visini 180.000,00 kuna i poduzetnicima po programu Poduzetnik 956,84 kune.</w:t>
      </w:r>
    </w:p>
    <w:p w:rsidR="00DD5633" w:rsidRDefault="00DD5633" w:rsidP="00DD5633">
      <w:pPr>
        <w:jc w:val="both"/>
        <w:rPr>
          <w:u w:val="single"/>
        </w:rPr>
      </w:pPr>
    </w:p>
    <w:p w:rsidR="00DD5633" w:rsidRDefault="00DD5633" w:rsidP="00DD5633">
      <w:pPr>
        <w:jc w:val="both"/>
      </w:pPr>
      <w:r>
        <w:rPr>
          <w:u w:val="single"/>
        </w:rPr>
        <w:t>Bilješka broj 1</w:t>
      </w:r>
      <w:r w:rsidR="00DF2BB4">
        <w:rPr>
          <w:u w:val="single"/>
        </w:rPr>
        <w:t>4</w:t>
      </w:r>
      <w:r>
        <w:rPr>
          <w:u w:val="single"/>
        </w:rPr>
        <w:t>. vezana za AOP oznaku 221 Pomoći dane u inozemstvo i unutar općeg proračuna</w:t>
      </w:r>
    </w:p>
    <w:p w:rsidR="00DD5633" w:rsidRDefault="00DD5633" w:rsidP="00DD5633">
      <w:pPr>
        <w:jc w:val="both"/>
        <w:rPr>
          <w:u w:val="single"/>
        </w:rPr>
      </w:pPr>
    </w:p>
    <w:p w:rsidR="00DD5633" w:rsidRDefault="00DD5633" w:rsidP="00DD5633">
      <w:pPr>
        <w:jc w:val="both"/>
      </w:pPr>
      <w:r>
        <w:t>Prijenosi su ostvareni 98,3% manje u odnosu na prošlu godinu, a evidentirani su kao prijenos sredstava osnovnim i srednjim školama za poticanje zadrugarstva u sveukupnom iznosu od 3.100,00.</w:t>
      </w:r>
    </w:p>
    <w:p w:rsidR="00DD5633" w:rsidRDefault="00DD5633" w:rsidP="00DD5633">
      <w:pPr>
        <w:jc w:val="both"/>
      </w:pPr>
    </w:p>
    <w:p w:rsidR="00DD5633" w:rsidRDefault="00DD5633" w:rsidP="00DD5633">
      <w:pPr>
        <w:jc w:val="both"/>
      </w:pPr>
      <w:r>
        <w:rPr>
          <w:u w:val="single"/>
        </w:rPr>
        <w:t>Bilješka broj 1</w:t>
      </w:r>
      <w:r w:rsidR="00DF2BB4">
        <w:rPr>
          <w:u w:val="single"/>
        </w:rPr>
        <w:t>5</w:t>
      </w:r>
      <w:r>
        <w:rPr>
          <w:u w:val="single"/>
        </w:rPr>
        <w:t xml:space="preserve">. vezana za AOP oznaku 234 Prijenosi proračunskim korisnicima iz nadležnog proračuna za financiranje redovne djelatnosti </w:t>
      </w:r>
    </w:p>
    <w:p w:rsidR="00DD5633" w:rsidRDefault="00DD5633" w:rsidP="00DD5633">
      <w:pPr>
        <w:jc w:val="both"/>
        <w:rPr>
          <w:u w:val="single"/>
        </w:rPr>
      </w:pPr>
    </w:p>
    <w:p w:rsidR="00DD5633" w:rsidRDefault="00DD5633" w:rsidP="00DD5633">
      <w:pPr>
        <w:jc w:val="both"/>
      </w:pPr>
      <w:r>
        <w:t xml:space="preserve">Podatak o prijenosima sredstava proračunskim korisnicima iz općih prihoda i primitaka izuzet je iz </w:t>
      </w:r>
      <w:proofErr w:type="spellStart"/>
      <w:r>
        <w:t>obrazca</w:t>
      </w:r>
      <w:proofErr w:type="spellEnd"/>
      <w:r>
        <w:t xml:space="preserve"> PR-</w:t>
      </w:r>
      <w:proofErr w:type="spellStart"/>
      <w:r>
        <w:t>Ras</w:t>
      </w:r>
      <w:proofErr w:type="spellEnd"/>
      <w:r>
        <w:t xml:space="preserve"> konsolidirani po metodologiji izrade konsolidiranog izvještaja, a iznosi 7.287.856 kuna od čega iznos od 7.086.910 kuna čine prijenosi proračunskim korisnicima za financiranje rashoda poslovanja, a iznos od 200.946 kuna čini prijenose proračunskim korisnicima za nabavu nefinancijske imovine.</w:t>
      </w:r>
      <w:r w:rsidR="000C5E4A">
        <w:t xml:space="preserve"> Detaljniji obrazloženje nalazi se uz Bilješku broj 24 vezanu za AOP 632.</w:t>
      </w:r>
    </w:p>
    <w:p w:rsidR="00DD5633" w:rsidRDefault="00DD5633" w:rsidP="00DD5633">
      <w:pPr>
        <w:jc w:val="both"/>
        <w:rPr>
          <w:u w:val="single"/>
        </w:rPr>
      </w:pPr>
    </w:p>
    <w:p w:rsidR="00DD5633" w:rsidRDefault="00DD5633" w:rsidP="00DD5633">
      <w:pPr>
        <w:jc w:val="both"/>
      </w:pPr>
      <w:r>
        <w:rPr>
          <w:u w:val="single"/>
        </w:rPr>
        <w:t>Bilješka broj 1</w:t>
      </w:r>
      <w:r w:rsidR="00DF2BB4">
        <w:rPr>
          <w:u w:val="single"/>
        </w:rPr>
        <w:t>6</w:t>
      </w:r>
      <w:r>
        <w:rPr>
          <w:u w:val="single"/>
        </w:rPr>
        <w:t>. vezana za AOP oznaku 246 Naknade građanima i kućanstvima na temelju  osiguranja i  druge naknade</w:t>
      </w:r>
    </w:p>
    <w:p w:rsidR="00DD5633" w:rsidRDefault="00DD5633" w:rsidP="00DD5633">
      <w:pPr>
        <w:jc w:val="both"/>
        <w:rPr>
          <w:u w:val="single"/>
        </w:rPr>
      </w:pPr>
    </w:p>
    <w:p w:rsidR="00DD5633" w:rsidRDefault="00DD5633" w:rsidP="00DD5633">
      <w:pPr>
        <w:jc w:val="both"/>
      </w:pPr>
      <w:r>
        <w:t>Naknade građanima i kućanstvima ostvarene su u iznosu od 869.424,81 kunu ili 50,9% više nego prošle godine, zabilježene su 33,4% više za naknade građanima i kućanstvima u novcu, zbog povećanih prava građanima za stipendije i rodiljine naknade, te 95,8% više za naknade građanima i kućanstvima u naravi, zbog ostvarenih prava građana na školske udžbenike.</w:t>
      </w:r>
    </w:p>
    <w:p w:rsidR="00DD5633" w:rsidRDefault="00DD5633" w:rsidP="00DD5633">
      <w:pPr>
        <w:jc w:val="both"/>
        <w:rPr>
          <w:u w:val="single"/>
        </w:rPr>
      </w:pPr>
    </w:p>
    <w:p w:rsidR="00DD5633" w:rsidRDefault="00DD5633" w:rsidP="00DD5633">
      <w:pPr>
        <w:jc w:val="both"/>
        <w:rPr>
          <w:u w:val="single"/>
        </w:rPr>
      </w:pPr>
      <w:r>
        <w:rPr>
          <w:u w:val="single"/>
        </w:rPr>
        <w:t>Bilješka broj 1</w:t>
      </w:r>
      <w:r w:rsidR="00DF2BB4">
        <w:rPr>
          <w:u w:val="single"/>
        </w:rPr>
        <w:t>7</w:t>
      </w:r>
      <w:r>
        <w:rPr>
          <w:u w:val="single"/>
        </w:rPr>
        <w:t>. vezana za AOP oznaku 257 Ostali rashodi</w:t>
      </w:r>
    </w:p>
    <w:p w:rsidR="000C5E4A" w:rsidRDefault="000C5E4A" w:rsidP="00DD5633">
      <w:pPr>
        <w:jc w:val="both"/>
      </w:pPr>
    </w:p>
    <w:p w:rsidR="00DD5633" w:rsidRDefault="00DD5633" w:rsidP="00DD5633">
      <w:pPr>
        <w:jc w:val="both"/>
      </w:pPr>
      <w:r>
        <w:t>Ostali rashodi ostvareni su  u iznosu od 2.284.428 kuna ili 18,9% više nego prošle godine. Ostvareni su kao:</w:t>
      </w:r>
    </w:p>
    <w:p w:rsidR="00DD5633" w:rsidRDefault="00DD5633" w:rsidP="00DD5633">
      <w:pPr>
        <w:numPr>
          <w:ilvl w:val="0"/>
          <w:numId w:val="9"/>
        </w:numPr>
        <w:jc w:val="both"/>
      </w:pPr>
      <w:r>
        <w:rPr>
          <w:u w:val="single"/>
        </w:rPr>
        <w:lastRenderedPageBreak/>
        <w:t>AOP 258</w:t>
      </w:r>
      <w:r>
        <w:rPr>
          <w:b/>
          <w:u w:val="single"/>
        </w:rPr>
        <w:t xml:space="preserve"> </w:t>
      </w:r>
      <w:r>
        <w:rPr>
          <w:u w:val="single"/>
        </w:rPr>
        <w:t>Tekuće donacije</w:t>
      </w:r>
      <w:r>
        <w:t xml:space="preserve"> u visini 1.913.213 kuna ili 5,9% više nego prošle godine, a ostvarene su temeljem pojedinačnih Rješenja Gradonačelnika, za razne aktivnosti neprofitnih udruga koje djeluju u Gradu, zatim prijenosom sredstava političkim strankama koje participiraju u gradskoj vlasti, temeljem Odluke Gradskog vijeća Grada Slatine. U ovoj skupini tekućih donacija značajnija sredstva dodijeljena su sukladno zakonskim propisima Vatrogasnoj zajednici Grada Slatine, Zajednici športskih udruga, Gradskoj organizaciji Crvenog križa Slatina, te Turističkoj zajednici Grada Slatine za realizaciju projekata koji doprinose boljoj turističkoj ponudi Grada Slatine.</w:t>
      </w:r>
    </w:p>
    <w:p w:rsidR="00DD5633" w:rsidRDefault="00DD5633" w:rsidP="00DD5633">
      <w:pPr>
        <w:numPr>
          <w:ilvl w:val="0"/>
          <w:numId w:val="9"/>
        </w:numPr>
        <w:jc w:val="both"/>
      </w:pPr>
      <w:r>
        <w:rPr>
          <w:u w:val="single"/>
        </w:rPr>
        <w:t>AOP 262 Kapitalne donacije</w:t>
      </w:r>
      <w:r>
        <w:t xml:space="preserve"> ostvarene su u visini od 94.730,79 kune ili 22,7% više nego prošle godine. Dodijeljene su vjerskim zajednicama u visini 93.500,00 kuna, te 1.230,79 kuna građanima temeljem Zakona o pravima hrvatskih branitelja i članova njihovih obitelji za oslobađanje od plaćanja priključaka na komunalnu infrastrukturu.</w:t>
      </w:r>
    </w:p>
    <w:p w:rsidR="00DD5633" w:rsidRDefault="00DD5633" w:rsidP="00DD5633">
      <w:pPr>
        <w:numPr>
          <w:ilvl w:val="0"/>
          <w:numId w:val="9"/>
        </w:numPr>
        <w:jc w:val="both"/>
      </w:pPr>
      <w:r>
        <w:rPr>
          <w:u w:val="single"/>
        </w:rPr>
        <w:t>AOP 266 Kazne penali i naknade štete</w:t>
      </w:r>
      <w:r>
        <w:t xml:space="preserve"> tijekom 2017. godine obračunate su u visini 50.917,91 kunu, a odnose se na naknade štete uzrokovane prirodnim katastrofama.</w:t>
      </w:r>
    </w:p>
    <w:p w:rsidR="00DD5633" w:rsidRDefault="00DD5633" w:rsidP="000C5E4A">
      <w:pPr>
        <w:numPr>
          <w:ilvl w:val="0"/>
          <w:numId w:val="9"/>
        </w:numPr>
        <w:jc w:val="both"/>
      </w:pPr>
      <w:r w:rsidRPr="000C5E4A">
        <w:rPr>
          <w:u w:val="single"/>
        </w:rPr>
        <w:t>AOP 272 Kapitalne pomoći</w:t>
      </w:r>
      <w:r>
        <w:t xml:space="preserve">, dodijeljene su u visini od 225.565,87 kuna, kao kapitalne pomoći poljoprivrednicima i obrtnicima u vidu oslobađanja od plaćanja obveza prema Gradu, sukladno gradskim Odlukama, za poticanje poduzetništva u visini 157.422,51 kunu i kapitalna pomoć za sufinanciranje nabave radnog stroja </w:t>
      </w:r>
      <w:proofErr w:type="spellStart"/>
      <w:r>
        <w:t>kompaktora</w:t>
      </w:r>
      <w:proofErr w:type="spellEnd"/>
      <w:r>
        <w:t xml:space="preserve"> u visini 68.143,36 kuna tvrtki Slatina-kom d.o.o Slatina u suradnji sa Fondom za zaštitu okoliša i energetsku učinkovitost.</w:t>
      </w:r>
    </w:p>
    <w:p w:rsidR="00DD5633" w:rsidRDefault="00DD5633" w:rsidP="00DD5633">
      <w:pPr>
        <w:jc w:val="both"/>
        <w:rPr>
          <w:u w:val="single"/>
        </w:rPr>
      </w:pPr>
    </w:p>
    <w:p w:rsidR="00DD5633" w:rsidRDefault="00DD5633" w:rsidP="00DD5633">
      <w:pPr>
        <w:jc w:val="both"/>
        <w:rPr>
          <w:u w:val="single"/>
        </w:rPr>
      </w:pPr>
      <w:r>
        <w:rPr>
          <w:u w:val="single"/>
        </w:rPr>
        <w:t>Bilješka broj 1</w:t>
      </w:r>
      <w:r w:rsidR="00DF2BB4">
        <w:rPr>
          <w:u w:val="single"/>
        </w:rPr>
        <w:t>8</w:t>
      </w:r>
      <w:r>
        <w:rPr>
          <w:u w:val="single"/>
        </w:rPr>
        <w:t>. vezana za AOP oznaku 289 Prihodi od prodaje nefinancijske imovine</w:t>
      </w:r>
    </w:p>
    <w:p w:rsidR="000C5E4A" w:rsidRDefault="000C5E4A" w:rsidP="00DD5633">
      <w:pPr>
        <w:jc w:val="both"/>
      </w:pPr>
    </w:p>
    <w:p w:rsidR="00DD5633" w:rsidRDefault="00DD5633" w:rsidP="00DD5633">
      <w:pPr>
        <w:jc w:val="both"/>
      </w:pPr>
      <w:r>
        <w:t>Prihodi od prodaje nefinancijske imovine manji su 74,5% u odnosu na prošlu godinu, na smanjenje ove vrste prihoda utjecali su:</w:t>
      </w:r>
    </w:p>
    <w:p w:rsidR="00DD5633" w:rsidRDefault="00DD5633" w:rsidP="00DD5633">
      <w:pPr>
        <w:numPr>
          <w:ilvl w:val="0"/>
          <w:numId w:val="9"/>
        </w:numPr>
        <w:jc w:val="both"/>
      </w:pPr>
      <w:r>
        <w:t xml:space="preserve">AOP 290 Prihodi od prodaje </w:t>
      </w:r>
      <w:proofErr w:type="spellStart"/>
      <w:r>
        <w:t>neproizvedene</w:t>
      </w:r>
      <w:proofErr w:type="spellEnd"/>
      <w:r>
        <w:t xml:space="preserve"> dugotrajne imovine, koji su ostvareni su 89,4% manje u odnosu na proteklu godinu, a ostvareni su većim dijelom od prodaje poljoprivrednog zemljišta, a manjim dijelom zamjenom zemljišta  sa tvrtkom Slatina-kom.</w:t>
      </w:r>
      <w:r>
        <w:rPr>
          <w:b/>
        </w:rPr>
        <w:t xml:space="preserve"> </w:t>
      </w:r>
      <w:r>
        <w:t xml:space="preserve"> </w:t>
      </w:r>
    </w:p>
    <w:p w:rsidR="00DD5633" w:rsidRDefault="00DD5633" w:rsidP="00DD5633">
      <w:pPr>
        <w:numPr>
          <w:ilvl w:val="0"/>
          <w:numId w:val="9"/>
        </w:numPr>
        <w:jc w:val="both"/>
      </w:pPr>
      <w:r>
        <w:t>AOP 302 Prihodi od prodaje proizvedene dugotrajne imovine, ostvareni su 11,4% više u odnosu na prošlu godinu, a odnose se na više ostvaren prihod od prodaje stanova u vlasništvu Grada.</w:t>
      </w:r>
    </w:p>
    <w:p w:rsidR="00DD5633" w:rsidRDefault="00DD5633" w:rsidP="00DD5633">
      <w:pPr>
        <w:ind w:left="360"/>
        <w:jc w:val="both"/>
      </w:pPr>
    </w:p>
    <w:p w:rsidR="00DD5633" w:rsidRDefault="00DD5633" w:rsidP="00DD5633">
      <w:pPr>
        <w:jc w:val="both"/>
      </w:pPr>
      <w:r>
        <w:rPr>
          <w:u w:val="single"/>
        </w:rPr>
        <w:t>Bilješka broj 1</w:t>
      </w:r>
      <w:r w:rsidR="00DF2BB4">
        <w:rPr>
          <w:u w:val="single"/>
        </w:rPr>
        <w:t>9</w:t>
      </w:r>
      <w:r>
        <w:rPr>
          <w:u w:val="single"/>
        </w:rPr>
        <w:t>. vezana za AOP oznaku 341 Rashodi za nabavu nefinancijske imovine</w:t>
      </w:r>
    </w:p>
    <w:p w:rsidR="00DD5633" w:rsidRDefault="00DD5633" w:rsidP="00DD5633">
      <w:pPr>
        <w:jc w:val="both"/>
        <w:rPr>
          <w:u w:val="single"/>
        </w:rPr>
      </w:pPr>
    </w:p>
    <w:p w:rsidR="00DD5633" w:rsidRDefault="00DD5633" w:rsidP="00DD5633">
      <w:pPr>
        <w:jc w:val="both"/>
      </w:pPr>
      <w:r>
        <w:t>Rashodi za nabavu nefinancijske imovine ostvareni su 12,6%  manje nego prošle godine. Ostvareni su kao:</w:t>
      </w:r>
    </w:p>
    <w:p w:rsidR="00DD5633" w:rsidRDefault="00DD5633" w:rsidP="00DD5633">
      <w:pPr>
        <w:numPr>
          <w:ilvl w:val="0"/>
          <w:numId w:val="9"/>
        </w:numPr>
        <w:jc w:val="both"/>
      </w:pPr>
      <w:r>
        <w:t xml:space="preserve">AOP 342 Rashodi za nabavu </w:t>
      </w:r>
      <w:proofErr w:type="spellStart"/>
      <w:r>
        <w:t>neproizvedene</w:t>
      </w:r>
      <w:proofErr w:type="spellEnd"/>
      <w:r>
        <w:t xml:space="preserve"> dugotrajne imovine, 472% više nego prošle godine, a ostvareni su nabavom zemljišta u iznosu 11.167,94 kune te rashodima Dječjeg vrtića „Zeko” Slatina za uređenje hola u zgradi dječjeg vrtića, u iznosu od 90.375,00 kuna,</w:t>
      </w:r>
    </w:p>
    <w:p w:rsidR="00DD5633" w:rsidRDefault="00DD5633" w:rsidP="00DD5633">
      <w:pPr>
        <w:numPr>
          <w:ilvl w:val="0"/>
          <w:numId w:val="9"/>
        </w:numPr>
        <w:jc w:val="both"/>
      </w:pPr>
      <w:r>
        <w:t>AOP 354  Rashodi za nabavu proizvedene dugotrajne imovine, ostvareni su 3,4% više nego prošle godine. Odstupanja u odnosu na prošlu godinu zabilježena su u ovoj grupi rashoda na:</w:t>
      </w:r>
    </w:p>
    <w:p w:rsidR="00DD5633" w:rsidRDefault="00DD5633" w:rsidP="00DD5633">
      <w:pPr>
        <w:numPr>
          <w:ilvl w:val="1"/>
          <w:numId w:val="9"/>
        </w:numPr>
        <w:jc w:val="both"/>
      </w:pPr>
      <w:r>
        <w:t xml:space="preserve">AOP 355 Građevinski objekti,  ostvareni su 17,6% manje nego prošle godine, a odnose se na ulaganja u Poduzetničku zonu Turbina 3, revitalizaciju javnih površina na Trgu svetog Josipa u Slatini, rekonstrukciju cesta Sunčane  i ceste za </w:t>
      </w:r>
      <w:proofErr w:type="spellStart"/>
      <w:r>
        <w:t>Golenić</w:t>
      </w:r>
      <w:proofErr w:type="spellEnd"/>
      <w:r>
        <w:t xml:space="preserve">, održavanje nogostupa u Gradu, te izgradnju javne rasvjete, </w:t>
      </w:r>
    </w:p>
    <w:p w:rsidR="00DD5633" w:rsidRDefault="00DD5633" w:rsidP="00DD5633">
      <w:pPr>
        <w:numPr>
          <w:ilvl w:val="1"/>
          <w:numId w:val="9"/>
        </w:numPr>
        <w:jc w:val="both"/>
      </w:pPr>
      <w:r>
        <w:lastRenderedPageBreak/>
        <w:t>AOP 360 Postrojenja i oprema, ostvareni su 88,4% više u odnosu na prošlu godinu, a odnose se na ulaganja u računala, uredski namještaj i ostalu opremu, komunikacijsku opremu, opremu za održavanje i zaštitu, te ostalu opremu u koju su i uložena značajnija sredstva za nabavu komunalnog stroja,</w:t>
      </w:r>
    </w:p>
    <w:p w:rsidR="00DD5633" w:rsidRDefault="00DD5633" w:rsidP="00DD5633">
      <w:pPr>
        <w:numPr>
          <w:ilvl w:val="1"/>
          <w:numId w:val="9"/>
        </w:numPr>
        <w:jc w:val="both"/>
      </w:pPr>
      <w:r>
        <w:t>AOP 374 Knjige, umjetnička djela i ostale izložbene vrijednosti, ostvareni su 11,5% više u odnosu na proteklu godinu, a čine ih ulaganja u knjige Gradske knjižnice i čitaonice te ulaganja u muzejske izloške Zavičajnog muzeja Grada Slatine,</w:t>
      </w:r>
    </w:p>
    <w:p w:rsidR="00DD5633" w:rsidRDefault="00DD5633" w:rsidP="00DD5633">
      <w:pPr>
        <w:numPr>
          <w:ilvl w:val="1"/>
          <w:numId w:val="9"/>
        </w:numPr>
        <w:jc w:val="both"/>
      </w:pPr>
      <w:r>
        <w:t xml:space="preserve">AOP 382 Nematerijalna proizvedena imovina, ostvarena je 15,0% više nego prošle godine, a odnosi se na ulaganja u računalne programe, nabavu prostorno planskih dokumenata, projektne dokumentacije za gradske projekte, izradu prometne studije, plana zaštite i spašavanja te plana razvoja širokopojasnog </w:t>
      </w:r>
      <w:proofErr w:type="spellStart"/>
      <w:r>
        <w:t>interneta</w:t>
      </w:r>
      <w:proofErr w:type="spellEnd"/>
      <w:r>
        <w:t>, te energetsko certificiranje zgrada u vlasništvu Grada.</w:t>
      </w:r>
    </w:p>
    <w:p w:rsidR="00DD5633" w:rsidRDefault="00DD5633" w:rsidP="00DD5633">
      <w:pPr>
        <w:numPr>
          <w:ilvl w:val="0"/>
          <w:numId w:val="9"/>
        </w:numPr>
        <w:jc w:val="both"/>
      </w:pPr>
      <w:r>
        <w:t>AOP 393 Rashodi za dodatna ulaganja na nefinancijskoj imovini, ostvareni su 49,1% manje nego 2016. godine, a ostvareni su na građevinskim objektima u vlasništvu grada, društvenim domovima, te ulaganjem u uređenje Zgrade Starog kotara.</w:t>
      </w:r>
    </w:p>
    <w:p w:rsidR="00DD5633" w:rsidRDefault="00DD5633" w:rsidP="00DD5633">
      <w:pPr>
        <w:jc w:val="both"/>
        <w:rPr>
          <w:u w:val="single"/>
        </w:rPr>
      </w:pPr>
    </w:p>
    <w:p w:rsidR="00DD5633" w:rsidRDefault="00DD5633" w:rsidP="00DD5633">
      <w:pPr>
        <w:jc w:val="both"/>
        <w:rPr>
          <w:u w:val="single"/>
        </w:rPr>
      </w:pPr>
      <w:r>
        <w:rPr>
          <w:u w:val="single"/>
        </w:rPr>
        <w:t xml:space="preserve">Bilješka broj </w:t>
      </w:r>
      <w:r w:rsidR="00DF2BB4">
        <w:rPr>
          <w:u w:val="single"/>
        </w:rPr>
        <w:t>20</w:t>
      </w:r>
      <w:r>
        <w:rPr>
          <w:u w:val="single"/>
        </w:rPr>
        <w:t>. vezana za AOP oznaku 410 Primici od financijske imovine i zaduživanja</w:t>
      </w:r>
    </w:p>
    <w:p w:rsidR="00CB6F18" w:rsidRDefault="00CB6F18" w:rsidP="00DD5633">
      <w:pPr>
        <w:jc w:val="both"/>
      </w:pPr>
    </w:p>
    <w:p w:rsidR="00DD5633" w:rsidRDefault="00DD5633" w:rsidP="00DD5633">
      <w:pPr>
        <w:jc w:val="both"/>
      </w:pPr>
      <w:r>
        <w:t>Primici od financijske imovine i zaduživanja nisu ostvareni tijekom 2017. godine, stoga nema usporednih podataka.</w:t>
      </w:r>
    </w:p>
    <w:p w:rsidR="00DD5633" w:rsidRDefault="00DD5633" w:rsidP="00DD5633">
      <w:pPr>
        <w:jc w:val="both"/>
      </w:pPr>
      <w:r>
        <w:rPr>
          <w:u w:val="single"/>
        </w:rPr>
        <w:t xml:space="preserve">Bilješka broj </w:t>
      </w:r>
      <w:r w:rsidR="00DF2BB4">
        <w:rPr>
          <w:u w:val="single"/>
        </w:rPr>
        <w:t>21</w:t>
      </w:r>
      <w:r>
        <w:rPr>
          <w:u w:val="single"/>
        </w:rPr>
        <w:t>. vezana za AOP oznaku 518 Izdaci za financijsku imovinu i otplate zajmova</w:t>
      </w:r>
    </w:p>
    <w:p w:rsidR="00DD5633" w:rsidRDefault="00DD5633" w:rsidP="00DD5633">
      <w:pPr>
        <w:jc w:val="both"/>
        <w:rPr>
          <w:u w:val="single"/>
        </w:rPr>
      </w:pPr>
    </w:p>
    <w:p w:rsidR="00DD5633" w:rsidRDefault="00DD5633" w:rsidP="00DD5633">
      <w:pPr>
        <w:jc w:val="both"/>
      </w:pPr>
      <w:r>
        <w:t xml:space="preserve">Sredstva su ostvarena u 2017. godini 12,2% manje u odnosu na 2016. godinu, zato što je kredit iz 2004. Godine ostvaren kod </w:t>
      </w:r>
      <w:proofErr w:type="spellStart"/>
      <w:r>
        <w:t>Addiko</w:t>
      </w:r>
      <w:proofErr w:type="spellEnd"/>
      <w:r>
        <w:t xml:space="preserve"> bank.d.d, otplaćen u cijelosti 1.9.2017.</w:t>
      </w:r>
    </w:p>
    <w:p w:rsidR="00DD5633" w:rsidRDefault="00DD5633" w:rsidP="00DD5633">
      <w:pPr>
        <w:jc w:val="both"/>
        <w:rPr>
          <w:u w:val="single"/>
        </w:rPr>
      </w:pPr>
    </w:p>
    <w:p w:rsidR="00DD5633" w:rsidRDefault="00DD5633" w:rsidP="00DD5633">
      <w:pPr>
        <w:jc w:val="both"/>
      </w:pPr>
      <w:r>
        <w:rPr>
          <w:u w:val="single"/>
        </w:rPr>
        <w:t xml:space="preserve">Bilješka broj </w:t>
      </w:r>
      <w:r w:rsidR="00DF2BB4">
        <w:rPr>
          <w:u w:val="single"/>
        </w:rPr>
        <w:t>22</w:t>
      </w:r>
      <w:r>
        <w:rPr>
          <w:u w:val="single"/>
        </w:rPr>
        <w:t xml:space="preserve">. vezana za AOP oznaku 629 Ukupni prihodi i primici </w:t>
      </w:r>
    </w:p>
    <w:p w:rsidR="00DD5633" w:rsidRDefault="00DD5633" w:rsidP="00DD5633">
      <w:pPr>
        <w:jc w:val="both"/>
        <w:rPr>
          <w:u w:val="single"/>
        </w:rPr>
      </w:pPr>
    </w:p>
    <w:p w:rsidR="00DD5633" w:rsidRDefault="00DD5633" w:rsidP="00DD5633">
      <w:pPr>
        <w:jc w:val="both"/>
      </w:pPr>
      <w:r>
        <w:t>Ukupni prihodi i primici ostvareni su u ukupnom iznosu od 35.099.524 kune ili 3,6% manje nego 2016. godine.  U ukupnoj svoti obuhvaćeni su prihodi proračunskih korisnika u visini od 2.540.477 kuna, a ostvareni su  kako slijedi:</w:t>
      </w:r>
    </w:p>
    <w:p w:rsidR="002A770F" w:rsidRDefault="002A770F" w:rsidP="00DD5633">
      <w:pPr>
        <w:jc w:val="both"/>
      </w:pPr>
    </w:p>
    <w:tbl>
      <w:tblPr>
        <w:tblW w:w="0" w:type="auto"/>
        <w:tblInd w:w="73" w:type="dxa"/>
        <w:tblLayout w:type="fixed"/>
        <w:tblLook w:val="0000" w:firstRow="0" w:lastRow="0" w:firstColumn="0" w:lastColumn="0" w:noHBand="0" w:noVBand="0"/>
      </w:tblPr>
      <w:tblGrid>
        <w:gridCol w:w="4004"/>
        <w:gridCol w:w="1701"/>
        <w:gridCol w:w="1701"/>
        <w:gridCol w:w="1701"/>
      </w:tblGrid>
      <w:tr w:rsidR="00DD5633" w:rsidRPr="00DD5633" w:rsidTr="00011C42">
        <w:trPr>
          <w:trHeight w:val="450"/>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Naziv</w:t>
            </w:r>
          </w:p>
        </w:tc>
        <w:tc>
          <w:tcPr>
            <w:tcW w:w="1701"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Sredstva grada</w:t>
            </w:r>
          </w:p>
        </w:tc>
        <w:tc>
          <w:tcPr>
            <w:tcW w:w="1701"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Sredstva korisnika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5633" w:rsidRPr="00DD5633" w:rsidRDefault="00DD5633" w:rsidP="00E840B8">
            <w:pPr>
              <w:jc w:val="both"/>
              <w:rPr>
                <w:sz w:val="20"/>
                <w:szCs w:val="20"/>
              </w:rPr>
            </w:pPr>
            <w:r w:rsidRPr="00DD5633">
              <w:rPr>
                <w:sz w:val="20"/>
                <w:szCs w:val="20"/>
              </w:rPr>
              <w:t>Sveukupno</w:t>
            </w:r>
          </w:p>
        </w:tc>
      </w:tr>
      <w:tr w:rsidR="00DD5633" w:rsidRPr="00DD5633" w:rsidTr="00011C42">
        <w:trPr>
          <w:trHeight w:val="450"/>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Proračun Grada Slatine                                                          </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25.231.193</w:t>
            </w:r>
          </w:p>
        </w:tc>
        <w:tc>
          <w:tcPr>
            <w:tcW w:w="1701" w:type="dxa"/>
            <w:tcBorders>
              <w:top w:val="single" w:sz="4" w:space="0" w:color="000000"/>
              <w:left w:val="single" w:sz="4" w:space="0" w:color="000000"/>
              <w:bottom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25.231.193</w:t>
            </w:r>
          </w:p>
        </w:tc>
      </w:tr>
      <w:tr w:rsidR="00DD5633" w:rsidRPr="00DD5633" w:rsidTr="00011C42">
        <w:trPr>
          <w:trHeight w:val="428"/>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Dječji vrtić „Zeko“ Slatina                                                          </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2.705.260</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1.016.917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3.722.177</w:t>
            </w:r>
          </w:p>
        </w:tc>
      </w:tr>
      <w:tr w:rsidR="00DD5633" w:rsidRPr="00DD5633" w:rsidTr="00011C42">
        <w:trPr>
          <w:trHeight w:val="418"/>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Pučko otvoreno učilište                                                               </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467.405</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833.697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1.301.102</w:t>
            </w:r>
          </w:p>
        </w:tc>
      </w:tr>
      <w:tr w:rsidR="00DD5633" w:rsidRPr="00DD5633" w:rsidTr="00011C42">
        <w:trPr>
          <w:trHeight w:val="209"/>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Gradska knjižnica i čitaonica Slatina                                            </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435.721</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127.598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563.319</w:t>
            </w:r>
          </w:p>
        </w:tc>
      </w:tr>
      <w:tr w:rsidR="00DD5633" w:rsidRPr="00DD5633" w:rsidTr="00011C42">
        <w:trPr>
          <w:trHeight w:val="328"/>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Zavičajni muzej Slatina                                                                </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605.661</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327.692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933.353</w:t>
            </w:r>
          </w:p>
        </w:tc>
      </w:tr>
      <w:tr w:rsidR="00DD5633" w:rsidRPr="00DD5633" w:rsidTr="00011C42">
        <w:trPr>
          <w:trHeight w:val="292"/>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Javna vatrogasna postrojba Grada Slatine                                </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2.677.041</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198.782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2.875.823</w:t>
            </w:r>
          </w:p>
        </w:tc>
      </w:tr>
      <w:tr w:rsidR="00DD5633" w:rsidRPr="00DD5633" w:rsidTr="00011C42">
        <w:trPr>
          <w:trHeight w:val="273"/>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Gradska razvojna agencija Grada Slatine</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396.766</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35.791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432.557</w:t>
            </w:r>
          </w:p>
        </w:tc>
      </w:tr>
      <w:tr w:rsidR="00DD5633" w:rsidRPr="00DD5633" w:rsidTr="00011C42">
        <w:trPr>
          <w:trHeight w:val="262"/>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Vijeće srpske nacionalne manjine</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40.000</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40.000,00</w:t>
            </w:r>
          </w:p>
        </w:tc>
      </w:tr>
      <w:tr w:rsidR="00DD5633" w:rsidRPr="00DD5633" w:rsidTr="00011C42">
        <w:trPr>
          <w:trHeight w:val="370"/>
        </w:trPr>
        <w:tc>
          <w:tcPr>
            <w:tcW w:w="4004"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b/>
                <w:bCs/>
                <w:sz w:val="20"/>
                <w:szCs w:val="20"/>
              </w:rPr>
              <w:t>Sveukupno</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b/>
                <w:color w:val="000000"/>
                <w:sz w:val="20"/>
                <w:szCs w:val="20"/>
              </w:rPr>
              <w:t>32.559.047</w:t>
            </w:r>
          </w:p>
        </w:tc>
        <w:tc>
          <w:tcPr>
            <w:tcW w:w="1701"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b/>
                <w:color w:val="000000"/>
                <w:sz w:val="20"/>
                <w:szCs w:val="20"/>
              </w:rPr>
              <w:t>2.540.477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b/>
                <w:color w:val="000000"/>
                <w:sz w:val="20"/>
                <w:szCs w:val="20"/>
              </w:rPr>
              <w:t>35.099.524</w:t>
            </w:r>
          </w:p>
        </w:tc>
      </w:tr>
    </w:tbl>
    <w:p w:rsidR="00DD5633" w:rsidRDefault="00DD5633" w:rsidP="00DD5633">
      <w:pPr>
        <w:jc w:val="both"/>
        <w:rPr>
          <w:u w:val="single"/>
        </w:rPr>
      </w:pPr>
    </w:p>
    <w:p w:rsidR="00DD5633" w:rsidRDefault="00DD5633" w:rsidP="00DD5633">
      <w:pPr>
        <w:jc w:val="both"/>
        <w:rPr>
          <w:u w:val="single"/>
        </w:rPr>
      </w:pPr>
    </w:p>
    <w:p w:rsidR="00DD5633" w:rsidRDefault="00DD5633" w:rsidP="00DD5633">
      <w:pPr>
        <w:jc w:val="both"/>
      </w:pPr>
      <w:r>
        <w:rPr>
          <w:u w:val="single"/>
        </w:rPr>
        <w:t>Bilješka broj 2</w:t>
      </w:r>
      <w:r w:rsidR="00DF2BB4">
        <w:rPr>
          <w:u w:val="single"/>
        </w:rPr>
        <w:t>3</w:t>
      </w:r>
      <w:r>
        <w:rPr>
          <w:u w:val="single"/>
        </w:rPr>
        <w:t xml:space="preserve">. vezana za AOP oznaku 630 Ukupni rashodi i izdaci  </w:t>
      </w:r>
    </w:p>
    <w:p w:rsidR="00DD5633" w:rsidRDefault="00DD5633" w:rsidP="00DD5633">
      <w:pPr>
        <w:jc w:val="both"/>
        <w:rPr>
          <w:u w:val="single"/>
        </w:rPr>
      </w:pPr>
    </w:p>
    <w:p w:rsidR="00DD5633" w:rsidRDefault="00DD5633" w:rsidP="00DD5633">
      <w:pPr>
        <w:jc w:val="both"/>
      </w:pPr>
      <w:r>
        <w:lastRenderedPageBreak/>
        <w:t>Ukupni rashodi i izdaci  ostvareni su u ukupnom iznosu od 35.912.385 kuna ili  10,6% više nego 2016. godine.  U ukupnoj svoti obuhvaćeni su rashodi proračunskih korisnika u visini od 2.48</w:t>
      </w:r>
      <w:r w:rsidR="00D00B22">
        <w:t>2</w:t>
      </w:r>
      <w:r>
        <w:t>.</w:t>
      </w:r>
      <w:r w:rsidR="00D00B22">
        <w:t>170</w:t>
      </w:r>
      <w:r>
        <w:t xml:space="preserve"> kun</w:t>
      </w:r>
      <w:r w:rsidR="00D00B22">
        <w:t>a</w:t>
      </w:r>
      <w:r>
        <w:t>, a ostvareni su  kako slijedi:</w:t>
      </w:r>
    </w:p>
    <w:p w:rsidR="00DD5633" w:rsidRDefault="00DD5633" w:rsidP="00DD5633">
      <w:pPr>
        <w:ind w:left="720"/>
        <w:jc w:val="both"/>
      </w:pPr>
    </w:p>
    <w:tbl>
      <w:tblPr>
        <w:tblW w:w="0" w:type="auto"/>
        <w:tblInd w:w="73" w:type="dxa"/>
        <w:tblLayout w:type="fixed"/>
        <w:tblLook w:val="0000" w:firstRow="0" w:lastRow="0" w:firstColumn="0" w:lastColumn="0" w:noHBand="0" w:noVBand="0"/>
      </w:tblPr>
      <w:tblGrid>
        <w:gridCol w:w="3635"/>
        <w:gridCol w:w="1596"/>
        <w:gridCol w:w="1547"/>
        <w:gridCol w:w="1646"/>
      </w:tblGrid>
      <w:tr w:rsidR="00DD5633" w:rsidRPr="00DD5633" w:rsidTr="00E840B8">
        <w:trPr>
          <w:trHeight w:val="450"/>
        </w:trPr>
        <w:tc>
          <w:tcPr>
            <w:tcW w:w="3635"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Naziv</w:t>
            </w:r>
          </w:p>
        </w:tc>
        <w:tc>
          <w:tcPr>
            <w:tcW w:w="1596"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Sredstva grada</w:t>
            </w:r>
          </w:p>
        </w:tc>
        <w:tc>
          <w:tcPr>
            <w:tcW w:w="1547"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Sredstva korisnika</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DD5633" w:rsidRPr="00DD5633" w:rsidRDefault="00DD5633" w:rsidP="00E840B8">
            <w:pPr>
              <w:jc w:val="both"/>
              <w:rPr>
                <w:sz w:val="20"/>
                <w:szCs w:val="20"/>
              </w:rPr>
            </w:pPr>
            <w:r w:rsidRPr="00DD5633">
              <w:rPr>
                <w:sz w:val="20"/>
                <w:szCs w:val="20"/>
              </w:rPr>
              <w:t>Sveukupno</w:t>
            </w:r>
          </w:p>
        </w:tc>
      </w:tr>
      <w:tr w:rsidR="00D00B22" w:rsidRPr="00DD5633" w:rsidTr="00B05C5E">
        <w:trPr>
          <w:trHeight w:val="354"/>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 xml:space="preserve">Proračun Grada Slatine                                                          </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26.103.809</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26.103.809</w:t>
            </w:r>
          </w:p>
        </w:tc>
      </w:tr>
      <w:tr w:rsidR="00D00B22" w:rsidRPr="00DD5633" w:rsidTr="00E840B8">
        <w:trPr>
          <w:trHeight w:val="294"/>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 xml:space="preserve">Dječji vrtić „Zeko“ Slatina                                                          </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2.705.260</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896.158</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3.601.418</w:t>
            </w:r>
          </w:p>
        </w:tc>
      </w:tr>
      <w:tr w:rsidR="00D00B22" w:rsidRPr="00DD5633" w:rsidTr="00E840B8">
        <w:trPr>
          <w:trHeight w:val="245"/>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 xml:space="preserve">Pučko otvoreno učilište                                                               </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467.405</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858.979</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1.326.384</w:t>
            </w:r>
          </w:p>
        </w:tc>
      </w:tr>
      <w:tr w:rsidR="00D00B22" w:rsidRPr="00DD5633" w:rsidTr="00E840B8">
        <w:trPr>
          <w:trHeight w:val="209"/>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 xml:space="preserve">Gradska knjižnica i čitaonica Slatina                                            </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435.721</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130.420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566.141</w:t>
            </w:r>
          </w:p>
        </w:tc>
      </w:tr>
      <w:tr w:rsidR="00D00B22" w:rsidRPr="00DD5633" w:rsidTr="00DD5633">
        <w:trPr>
          <w:trHeight w:val="187"/>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 xml:space="preserve">Zavičajni muzej Slatina                                                                </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605.661</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427.632</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1.033.293</w:t>
            </w:r>
          </w:p>
        </w:tc>
      </w:tr>
      <w:tr w:rsidR="00D00B22" w:rsidRPr="00DD5633" w:rsidTr="00E840B8">
        <w:trPr>
          <w:trHeight w:val="292"/>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 xml:space="preserve">Javna vatrogasna postrojba Grada Slatine                                </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2.677.041</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150.168</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2.827.209</w:t>
            </w:r>
          </w:p>
        </w:tc>
      </w:tr>
      <w:tr w:rsidR="00D00B22" w:rsidRPr="00DD5633" w:rsidTr="00E840B8">
        <w:trPr>
          <w:trHeight w:val="273"/>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Gradska razvojna agencija Grada Slatine</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396.766</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18.813</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415.579</w:t>
            </w:r>
          </w:p>
        </w:tc>
      </w:tr>
      <w:tr w:rsidR="00D00B22" w:rsidRPr="00DD5633" w:rsidTr="00E840B8">
        <w:trPr>
          <w:trHeight w:val="262"/>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sz w:val="20"/>
                <w:szCs w:val="20"/>
              </w:rPr>
              <w:t>Vijeće srpske nacionalne manjine</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38.552</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color w:val="000000"/>
                <w:sz w:val="20"/>
                <w:szCs w:val="20"/>
              </w:rPr>
            </w:pPr>
            <w:r>
              <w:rPr>
                <w:color w:val="000000"/>
                <w:sz w:val="20"/>
                <w:szCs w:val="20"/>
              </w:rPr>
              <w:t>38.552</w:t>
            </w:r>
          </w:p>
        </w:tc>
      </w:tr>
      <w:tr w:rsidR="00D00B22" w:rsidRPr="00DD5633" w:rsidTr="00E840B8">
        <w:trPr>
          <w:trHeight w:val="270"/>
        </w:trPr>
        <w:tc>
          <w:tcPr>
            <w:tcW w:w="3635" w:type="dxa"/>
            <w:tcBorders>
              <w:top w:val="single" w:sz="4" w:space="0" w:color="000000"/>
              <w:left w:val="single" w:sz="4" w:space="0" w:color="000000"/>
              <w:bottom w:val="single" w:sz="4" w:space="0" w:color="000000"/>
            </w:tcBorders>
            <w:shd w:val="clear" w:color="auto" w:fill="auto"/>
          </w:tcPr>
          <w:p w:rsidR="00D00B22" w:rsidRPr="00DD5633" w:rsidRDefault="00D00B22" w:rsidP="00E840B8">
            <w:pPr>
              <w:jc w:val="both"/>
              <w:rPr>
                <w:sz w:val="20"/>
                <w:szCs w:val="20"/>
              </w:rPr>
            </w:pPr>
            <w:r w:rsidRPr="00DD5633">
              <w:rPr>
                <w:b/>
                <w:bCs/>
                <w:sz w:val="20"/>
                <w:szCs w:val="20"/>
              </w:rPr>
              <w:t>Sveukupno</w:t>
            </w:r>
          </w:p>
        </w:tc>
        <w:tc>
          <w:tcPr>
            <w:tcW w:w="1596"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b/>
                <w:bCs/>
                <w:color w:val="000000"/>
                <w:sz w:val="20"/>
                <w:szCs w:val="20"/>
              </w:rPr>
            </w:pPr>
            <w:r>
              <w:rPr>
                <w:b/>
                <w:bCs/>
                <w:color w:val="000000"/>
                <w:sz w:val="20"/>
                <w:szCs w:val="20"/>
              </w:rPr>
              <w:t>33.430.215</w:t>
            </w:r>
          </w:p>
        </w:tc>
        <w:tc>
          <w:tcPr>
            <w:tcW w:w="1547" w:type="dxa"/>
            <w:tcBorders>
              <w:top w:val="single" w:sz="4" w:space="0" w:color="000000"/>
              <w:left w:val="single" w:sz="4" w:space="0" w:color="000000"/>
              <w:bottom w:val="single" w:sz="4" w:space="0" w:color="000000"/>
            </w:tcBorders>
            <w:shd w:val="clear" w:color="auto" w:fill="auto"/>
            <w:vAlign w:val="center"/>
          </w:tcPr>
          <w:p w:rsidR="00D00B22" w:rsidRDefault="00D00B22">
            <w:pPr>
              <w:jc w:val="right"/>
              <w:rPr>
                <w:b/>
                <w:bCs/>
                <w:color w:val="000000"/>
                <w:sz w:val="20"/>
                <w:szCs w:val="20"/>
              </w:rPr>
            </w:pPr>
            <w:r>
              <w:rPr>
                <w:b/>
                <w:bCs/>
                <w:color w:val="000000"/>
                <w:sz w:val="20"/>
                <w:szCs w:val="20"/>
              </w:rPr>
              <w:t>2.482.170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22" w:rsidRDefault="00D00B22">
            <w:pPr>
              <w:jc w:val="right"/>
              <w:rPr>
                <w:b/>
                <w:bCs/>
                <w:color w:val="000000"/>
                <w:sz w:val="20"/>
                <w:szCs w:val="20"/>
              </w:rPr>
            </w:pPr>
            <w:r>
              <w:rPr>
                <w:b/>
                <w:bCs/>
                <w:color w:val="000000"/>
                <w:sz w:val="20"/>
                <w:szCs w:val="20"/>
              </w:rPr>
              <w:t>35.912.385</w:t>
            </w:r>
          </w:p>
        </w:tc>
      </w:tr>
    </w:tbl>
    <w:p w:rsidR="00EB460D" w:rsidRDefault="00EB460D" w:rsidP="00DD5633">
      <w:pPr>
        <w:jc w:val="both"/>
        <w:rPr>
          <w:u w:val="single"/>
        </w:rPr>
      </w:pPr>
    </w:p>
    <w:p w:rsidR="00DD5633" w:rsidRDefault="00DD5633" w:rsidP="00DD5633">
      <w:pPr>
        <w:jc w:val="both"/>
      </w:pPr>
      <w:r>
        <w:rPr>
          <w:u w:val="single"/>
        </w:rPr>
        <w:t>Bilješka broj 2</w:t>
      </w:r>
      <w:r w:rsidR="00DF2BB4">
        <w:rPr>
          <w:u w:val="single"/>
        </w:rPr>
        <w:t>4</w:t>
      </w:r>
      <w:r>
        <w:rPr>
          <w:u w:val="single"/>
        </w:rPr>
        <w:t xml:space="preserve">. vezana za AOP oznaku 632 Manjak prihoda i primitaka </w:t>
      </w:r>
    </w:p>
    <w:p w:rsidR="00DD5633" w:rsidRDefault="00DD5633" w:rsidP="00DD5633">
      <w:pPr>
        <w:jc w:val="both"/>
        <w:rPr>
          <w:u w:val="single"/>
        </w:rPr>
      </w:pPr>
    </w:p>
    <w:p w:rsidR="00DD5633" w:rsidRDefault="00DD5633" w:rsidP="00DD5633">
      <w:pPr>
        <w:jc w:val="both"/>
      </w:pPr>
      <w:r>
        <w:t xml:space="preserve">Manjak prihoda i primitaka ostvaren je u visini od 812.861 kunu. </w:t>
      </w:r>
    </w:p>
    <w:p w:rsidR="00DD5633" w:rsidRDefault="00DD5633" w:rsidP="00DD5633">
      <w:pPr>
        <w:jc w:val="both"/>
      </w:pPr>
      <w:r>
        <w:t>Nastao je kao rezultat razlike između sveukupnih prihoda i primitaka te rashoda i izdataka kako je prikazano u nastavku:</w:t>
      </w:r>
    </w:p>
    <w:p w:rsidR="0060744F" w:rsidRDefault="0060744F" w:rsidP="00DD5633">
      <w:pPr>
        <w:jc w:val="both"/>
      </w:pPr>
    </w:p>
    <w:tbl>
      <w:tblPr>
        <w:tblW w:w="0" w:type="auto"/>
        <w:tblInd w:w="73" w:type="dxa"/>
        <w:tblLayout w:type="fixed"/>
        <w:tblLook w:val="0000" w:firstRow="0" w:lastRow="0" w:firstColumn="0" w:lastColumn="0" w:noHBand="0" w:noVBand="0"/>
      </w:tblPr>
      <w:tblGrid>
        <w:gridCol w:w="3589"/>
        <w:gridCol w:w="1596"/>
        <w:gridCol w:w="1596"/>
        <w:gridCol w:w="1643"/>
      </w:tblGrid>
      <w:tr w:rsidR="00DD5633" w:rsidRPr="00DD5633" w:rsidTr="00E840B8">
        <w:trPr>
          <w:trHeight w:val="450"/>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Naziv</w:t>
            </w:r>
          </w:p>
        </w:tc>
        <w:tc>
          <w:tcPr>
            <w:tcW w:w="1596"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Sveukupno prihodi i primici</w:t>
            </w:r>
          </w:p>
        </w:tc>
        <w:tc>
          <w:tcPr>
            <w:tcW w:w="1596"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Sveukupno rashodi i izdaci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DD5633" w:rsidRPr="00DD5633" w:rsidRDefault="00DD5633" w:rsidP="00E840B8">
            <w:pPr>
              <w:jc w:val="both"/>
              <w:rPr>
                <w:sz w:val="20"/>
                <w:szCs w:val="20"/>
              </w:rPr>
            </w:pPr>
            <w:r w:rsidRPr="00DD5633">
              <w:rPr>
                <w:sz w:val="20"/>
                <w:szCs w:val="20"/>
              </w:rPr>
              <w:t>Sveukupno višak prihoda i primitaka</w:t>
            </w:r>
          </w:p>
        </w:tc>
      </w:tr>
      <w:tr w:rsidR="00DD5633" w:rsidRPr="00DD5633" w:rsidTr="00DD5633">
        <w:trPr>
          <w:trHeight w:val="305"/>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Proračun Grada Slatine                                                          </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25.231.193</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26.103.809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-872.616</w:t>
            </w:r>
          </w:p>
        </w:tc>
      </w:tr>
      <w:tr w:rsidR="00DD5633" w:rsidRPr="00DD5633" w:rsidTr="00E840B8">
        <w:trPr>
          <w:trHeight w:val="294"/>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Dječji vrtić „Zeko“ Slatina                                                          </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3.722.177</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3.601.418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120.759</w:t>
            </w:r>
          </w:p>
        </w:tc>
      </w:tr>
      <w:tr w:rsidR="00DD5633" w:rsidRPr="00DD5633" w:rsidTr="00E840B8">
        <w:trPr>
          <w:trHeight w:val="245"/>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Pučko otvoreno učilište                                                               </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1.301.102</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1.326.384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-25.282</w:t>
            </w:r>
          </w:p>
        </w:tc>
      </w:tr>
      <w:tr w:rsidR="00DD5633" w:rsidRPr="00DD5633" w:rsidTr="00E840B8">
        <w:trPr>
          <w:trHeight w:val="209"/>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Gradska knjižnica i čitaonica Slatina                                            </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563.319</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566.141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-2.822</w:t>
            </w:r>
          </w:p>
        </w:tc>
      </w:tr>
      <w:tr w:rsidR="00DD5633" w:rsidRPr="00DD5633" w:rsidTr="00E840B8">
        <w:trPr>
          <w:trHeight w:val="328"/>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Zavičajni muzej Slatina                                                                </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933.353</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1.033.293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-99.940</w:t>
            </w:r>
          </w:p>
        </w:tc>
      </w:tr>
      <w:tr w:rsidR="00DD5633" w:rsidRPr="00DD5633" w:rsidTr="00E840B8">
        <w:trPr>
          <w:trHeight w:val="292"/>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 xml:space="preserve">Javna vatrogasna postrojba Grada Slatine                                </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2.875.823</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2.827.209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48.614</w:t>
            </w:r>
          </w:p>
        </w:tc>
      </w:tr>
      <w:tr w:rsidR="00DD5633" w:rsidRPr="00DD5633" w:rsidTr="00E840B8">
        <w:trPr>
          <w:trHeight w:val="273"/>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Gradska razvojna agencija Grada Slatine</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432.557</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415.579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16.978</w:t>
            </w:r>
          </w:p>
        </w:tc>
      </w:tr>
      <w:tr w:rsidR="00DD5633" w:rsidRPr="00DD5633" w:rsidTr="00E840B8">
        <w:trPr>
          <w:trHeight w:val="262"/>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sz w:val="20"/>
                <w:szCs w:val="20"/>
              </w:rPr>
              <w:t>Vijeće srpske nacionalne manjine</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40.000,00</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color w:val="000000"/>
                <w:sz w:val="20"/>
                <w:szCs w:val="20"/>
              </w:rPr>
              <w:t>38.552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color w:val="000000"/>
                <w:sz w:val="20"/>
                <w:szCs w:val="20"/>
              </w:rPr>
              <w:t>1.448</w:t>
            </w:r>
          </w:p>
        </w:tc>
      </w:tr>
      <w:tr w:rsidR="00DD5633" w:rsidRPr="00DD5633" w:rsidTr="00E840B8">
        <w:trPr>
          <w:trHeight w:val="270"/>
        </w:trPr>
        <w:tc>
          <w:tcPr>
            <w:tcW w:w="3589" w:type="dxa"/>
            <w:tcBorders>
              <w:top w:val="single" w:sz="4" w:space="0" w:color="000000"/>
              <w:left w:val="single" w:sz="4" w:space="0" w:color="000000"/>
              <w:bottom w:val="single" w:sz="4" w:space="0" w:color="000000"/>
            </w:tcBorders>
            <w:shd w:val="clear" w:color="auto" w:fill="auto"/>
          </w:tcPr>
          <w:p w:rsidR="00DD5633" w:rsidRPr="00DD5633" w:rsidRDefault="00DD5633" w:rsidP="00E840B8">
            <w:pPr>
              <w:jc w:val="both"/>
              <w:rPr>
                <w:sz w:val="20"/>
                <w:szCs w:val="20"/>
              </w:rPr>
            </w:pPr>
            <w:r w:rsidRPr="00DD5633">
              <w:rPr>
                <w:b/>
                <w:bCs/>
                <w:sz w:val="20"/>
                <w:szCs w:val="20"/>
              </w:rPr>
              <w:t>Sveukupno</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b/>
                <w:color w:val="000000"/>
                <w:sz w:val="20"/>
                <w:szCs w:val="20"/>
              </w:rPr>
              <w:t>35.099.524</w:t>
            </w:r>
          </w:p>
        </w:tc>
        <w:tc>
          <w:tcPr>
            <w:tcW w:w="1596" w:type="dxa"/>
            <w:tcBorders>
              <w:top w:val="single" w:sz="4" w:space="0" w:color="000000"/>
              <w:left w:val="single" w:sz="4" w:space="0" w:color="000000"/>
              <w:bottom w:val="single" w:sz="4" w:space="0" w:color="000000"/>
            </w:tcBorders>
            <w:shd w:val="clear" w:color="auto" w:fill="auto"/>
            <w:vAlign w:val="center"/>
          </w:tcPr>
          <w:p w:rsidR="00DD5633" w:rsidRPr="00DD5633" w:rsidRDefault="00DD5633" w:rsidP="00DD5633">
            <w:pPr>
              <w:jc w:val="right"/>
              <w:rPr>
                <w:sz w:val="20"/>
                <w:szCs w:val="20"/>
              </w:rPr>
            </w:pPr>
            <w:r w:rsidRPr="00DD5633">
              <w:rPr>
                <w:b/>
                <w:color w:val="000000"/>
                <w:sz w:val="20"/>
                <w:szCs w:val="20"/>
              </w:rPr>
              <w:t>35.912.385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5633" w:rsidRPr="00DD5633" w:rsidRDefault="00DD5633" w:rsidP="00DD5633">
            <w:pPr>
              <w:jc w:val="right"/>
              <w:rPr>
                <w:sz w:val="20"/>
                <w:szCs w:val="20"/>
              </w:rPr>
            </w:pPr>
            <w:r w:rsidRPr="00DD5633">
              <w:rPr>
                <w:b/>
                <w:color w:val="000000"/>
                <w:sz w:val="20"/>
                <w:szCs w:val="20"/>
              </w:rPr>
              <w:t>812.861</w:t>
            </w:r>
          </w:p>
        </w:tc>
      </w:tr>
    </w:tbl>
    <w:p w:rsidR="00DD5633" w:rsidRDefault="00DD5633" w:rsidP="00DD5633">
      <w:pPr>
        <w:ind w:firstLine="708"/>
        <w:jc w:val="both"/>
        <w:rPr>
          <w:u w:val="single"/>
        </w:rPr>
      </w:pPr>
    </w:p>
    <w:p w:rsidR="00DD5633" w:rsidRDefault="00DD5633" w:rsidP="00DD5633">
      <w:pPr>
        <w:ind w:firstLine="708"/>
        <w:jc w:val="both"/>
      </w:pPr>
      <w:r>
        <w:t>Ovaj konsolidirani financijski izvještaj nastao je kao rezultat zbrajanja financijskih izvještaja Grada Slatine razina 22 i financijskih izvještaja proračunskih korisnika razina 21 u kojemu su eliminirani prijenosi sredstava između Grada i proračunskih korisnika, radi prikazivanja istih po prirodnim vrstama, kako je prikazano u nastavku:</w:t>
      </w:r>
    </w:p>
    <w:p w:rsidR="002A770F" w:rsidRDefault="002A770F" w:rsidP="002A770F">
      <w:pPr>
        <w:jc w:val="both"/>
      </w:pPr>
    </w:p>
    <w:tbl>
      <w:tblPr>
        <w:tblW w:w="9224" w:type="dxa"/>
        <w:tblInd w:w="98" w:type="dxa"/>
        <w:tblLook w:val="04A0" w:firstRow="1" w:lastRow="0" w:firstColumn="1" w:lastColumn="0" w:noHBand="0" w:noVBand="1"/>
      </w:tblPr>
      <w:tblGrid>
        <w:gridCol w:w="2440"/>
        <w:gridCol w:w="1398"/>
        <w:gridCol w:w="1134"/>
        <w:gridCol w:w="1559"/>
        <w:gridCol w:w="1417"/>
        <w:gridCol w:w="1276"/>
      </w:tblGrid>
      <w:tr w:rsidR="002A770F" w:rsidRPr="002A770F" w:rsidTr="00CD5616">
        <w:trPr>
          <w:trHeight w:val="915"/>
        </w:trPr>
        <w:tc>
          <w:tcPr>
            <w:tcW w:w="2440" w:type="dxa"/>
            <w:tcBorders>
              <w:top w:val="single" w:sz="8" w:space="0" w:color="auto"/>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16"/>
                <w:szCs w:val="16"/>
                <w:lang w:eastAsia="hr-HR"/>
              </w:rPr>
            </w:pPr>
            <w:r w:rsidRPr="002A770F">
              <w:rPr>
                <w:color w:val="000000"/>
                <w:sz w:val="16"/>
                <w:szCs w:val="16"/>
                <w:lang w:eastAsia="hr-HR"/>
              </w:rPr>
              <w:t>Naziv</w:t>
            </w:r>
          </w:p>
        </w:tc>
        <w:tc>
          <w:tcPr>
            <w:tcW w:w="1398" w:type="dxa"/>
            <w:tcBorders>
              <w:top w:val="single" w:sz="8" w:space="0" w:color="auto"/>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16"/>
                <w:szCs w:val="16"/>
                <w:lang w:eastAsia="hr-HR"/>
              </w:rPr>
            </w:pPr>
            <w:r w:rsidRPr="002A770F">
              <w:rPr>
                <w:color w:val="000000"/>
                <w:sz w:val="16"/>
                <w:szCs w:val="16"/>
                <w:lang w:eastAsia="hr-HR"/>
              </w:rPr>
              <w:t>Sveukupno prihodi i primici Grada Slatine i proračunskih korisnika</w:t>
            </w:r>
          </w:p>
        </w:tc>
        <w:tc>
          <w:tcPr>
            <w:tcW w:w="1134" w:type="dxa"/>
            <w:tcBorders>
              <w:top w:val="single" w:sz="8" w:space="0" w:color="auto"/>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16"/>
                <w:szCs w:val="16"/>
                <w:lang w:eastAsia="hr-HR"/>
              </w:rPr>
            </w:pPr>
            <w:r w:rsidRPr="002A770F">
              <w:rPr>
                <w:color w:val="000000"/>
                <w:sz w:val="16"/>
                <w:szCs w:val="16"/>
                <w:lang w:eastAsia="hr-HR"/>
              </w:rPr>
              <w:t>Proračun Grada financirao proračunske korisnike 367</w:t>
            </w:r>
          </w:p>
        </w:tc>
        <w:tc>
          <w:tcPr>
            <w:tcW w:w="1559" w:type="dxa"/>
            <w:tcBorders>
              <w:top w:val="single" w:sz="8" w:space="0" w:color="auto"/>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16"/>
                <w:szCs w:val="16"/>
                <w:lang w:eastAsia="hr-HR"/>
              </w:rPr>
            </w:pPr>
            <w:r w:rsidRPr="002A770F">
              <w:rPr>
                <w:color w:val="000000"/>
                <w:sz w:val="16"/>
                <w:szCs w:val="16"/>
                <w:lang w:eastAsia="hr-HR"/>
              </w:rPr>
              <w:t>Sveukupno rashodi i izdaci grada i proračunskih korisnika</w:t>
            </w:r>
          </w:p>
        </w:tc>
        <w:tc>
          <w:tcPr>
            <w:tcW w:w="1417" w:type="dxa"/>
            <w:tcBorders>
              <w:top w:val="single" w:sz="8" w:space="0" w:color="auto"/>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16"/>
                <w:szCs w:val="16"/>
                <w:lang w:eastAsia="hr-HR"/>
              </w:rPr>
            </w:pPr>
            <w:r w:rsidRPr="002A770F">
              <w:rPr>
                <w:color w:val="000000"/>
                <w:sz w:val="16"/>
                <w:szCs w:val="16"/>
                <w:lang w:eastAsia="hr-HR"/>
              </w:rPr>
              <w:t>Sredstva iz Grada potrošena za redovno poslovanje 671</w:t>
            </w:r>
          </w:p>
        </w:tc>
        <w:tc>
          <w:tcPr>
            <w:tcW w:w="1276" w:type="dxa"/>
            <w:tcBorders>
              <w:top w:val="single" w:sz="8" w:space="0" w:color="auto"/>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both"/>
              <w:rPr>
                <w:color w:val="000000"/>
                <w:sz w:val="16"/>
                <w:szCs w:val="16"/>
                <w:lang w:eastAsia="hr-HR"/>
              </w:rPr>
            </w:pPr>
            <w:r w:rsidRPr="002A770F">
              <w:rPr>
                <w:color w:val="000000"/>
                <w:sz w:val="16"/>
                <w:szCs w:val="16"/>
                <w:lang w:eastAsia="hr-HR"/>
              </w:rPr>
              <w:t>Sveukupno manjak prihoda i primitaka</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Proračun Grada Slatine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32.559.047</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 </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33.431.665</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-872.618</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Dječji vrtić „Zeko“ Slatina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3.722.177</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2.705.260</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3.601.418</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2.705.260</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120.759</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Pučko otvoreno učilište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1.301.102</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467.405</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1.326.384</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467.405</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-25.282</w:t>
            </w:r>
          </w:p>
        </w:tc>
      </w:tr>
      <w:tr w:rsidR="002A770F" w:rsidRPr="002A770F" w:rsidTr="00CD5616">
        <w:trPr>
          <w:trHeight w:val="525"/>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Gradska knjižnica i čitaonica Slatina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563.319</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435.721</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566.141</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435.721</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-2.822</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Zavičajni muzej Slatina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933.353</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605.661</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1.033.293</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605.661</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-99.940</w:t>
            </w:r>
          </w:p>
        </w:tc>
      </w:tr>
      <w:tr w:rsidR="002A770F" w:rsidRPr="002A770F" w:rsidTr="00CD5616">
        <w:trPr>
          <w:trHeight w:val="525"/>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lastRenderedPageBreak/>
              <w:t xml:space="preserve">Javna vatrogasna postrojba Grada Slatine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2.875.823</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2.677.041</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2.827.209</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2.677.041</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48.614</w:t>
            </w:r>
          </w:p>
        </w:tc>
      </w:tr>
      <w:tr w:rsidR="002A770F" w:rsidRPr="002A770F" w:rsidTr="00CD5616">
        <w:trPr>
          <w:trHeight w:val="525"/>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Gradska razvojna agencija Grada Slatine</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432.557</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396.766</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415.579</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396.766</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16.978</w:t>
            </w:r>
          </w:p>
        </w:tc>
      </w:tr>
      <w:tr w:rsidR="002A770F" w:rsidRPr="002A770F" w:rsidTr="00CD5616">
        <w:trPr>
          <w:trHeight w:val="525"/>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Vijeće srpske nacionalne manjine</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40.000</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40.000</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38.552</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40.000</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1.448</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b/>
                <w:bCs/>
                <w:color w:val="000000"/>
                <w:sz w:val="20"/>
                <w:szCs w:val="20"/>
                <w:lang w:eastAsia="hr-HR"/>
              </w:rPr>
            </w:pPr>
            <w:r w:rsidRPr="002A770F">
              <w:rPr>
                <w:b/>
                <w:bCs/>
                <w:color w:val="000000"/>
                <w:sz w:val="20"/>
                <w:szCs w:val="20"/>
                <w:lang w:eastAsia="hr-HR"/>
              </w:rPr>
              <w:t>Sveukupno</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42.427.378</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7.327.854</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43.240.241</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7.327.854</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-812.863</w:t>
            </w:r>
          </w:p>
        </w:tc>
      </w:tr>
      <w:tr w:rsidR="002A770F" w:rsidRPr="002A770F" w:rsidTr="00CD5616">
        <w:trPr>
          <w:trHeight w:val="78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Javna vatrogasna postrojba Grada Slatine    zaokružila na manje   </w:t>
            </w:r>
            <w:r>
              <w:rPr>
                <w:color w:val="000000"/>
                <w:sz w:val="20"/>
                <w:szCs w:val="20"/>
                <w:lang w:eastAsia="hr-HR"/>
              </w:rPr>
              <w:t>671</w:t>
            </w:r>
            <w:r w:rsidRPr="002A770F">
              <w:rPr>
                <w:color w:val="000000"/>
                <w:sz w:val="20"/>
                <w:szCs w:val="20"/>
                <w:lang w:eastAsia="hr-HR"/>
              </w:rPr>
              <w:t xml:space="preserve">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1</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-1</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1</w:t>
            </w:r>
          </w:p>
        </w:tc>
      </w:tr>
      <w:tr w:rsidR="002A770F" w:rsidRPr="002A770F" w:rsidTr="00CD5616">
        <w:trPr>
          <w:trHeight w:val="78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 xml:space="preserve">Gradska knjižnica i čitaonica Slatina     zaokružila na manje     </w:t>
            </w:r>
            <w:r>
              <w:rPr>
                <w:color w:val="000000"/>
                <w:sz w:val="20"/>
                <w:szCs w:val="20"/>
                <w:lang w:eastAsia="hr-HR"/>
              </w:rPr>
              <w:t>671</w:t>
            </w:r>
            <w:r w:rsidRPr="002A770F">
              <w:rPr>
                <w:color w:val="000000"/>
                <w:sz w:val="20"/>
                <w:szCs w:val="20"/>
                <w:lang w:eastAsia="hr-HR"/>
              </w:rPr>
              <w:t xml:space="preserve">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1</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-1</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1</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b/>
                <w:bCs/>
                <w:color w:val="000000"/>
                <w:sz w:val="20"/>
                <w:szCs w:val="20"/>
                <w:lang w:eastAsia="hr-HR"/>
              </w:rPr>
            </w:pPr>
            <w:r w:rsidRPr="002A770F">
              <w:rPr>
                <w:b/>
                <w:bCs/>
                <w:color w:val="000000"/>
                <w:sz w:val="20"/>
                <w:szCs w:val="20"/>
                <w:lang w:eastAsia="hr-HR"/>
              </w:rPr>
              <w:t> </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42.427.378</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7.327.856</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43.240.239</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-812.861</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Eliminacija 671 i 367</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7.287.854</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 </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7.287.854</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0</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color w:val="000000"/>
                <w:sz w:val="20"/>
                <w:szCs w:val="20"/>
                <w:lang w:eastAsia="hr-HR"/>
              </w:rPr>
            </w:pPr>
            <w:r w:rsidRPr="002A770F">
              <w:rPr>
                <w:color w:val="000000"/>
                <w:sz w:val="20"/>
                <w:szCs w:val="20"/>
                <w:lang w:eastAsia="hr-HR"/>
              </w:rPr>
              <w:t>Eliminacija 671 i 381</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40.000</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 </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40.000</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color w:val="000000"/>
                <w:sz w:val="20"/>
                <w:szCs w:val="20"/>
                <w:lang w:eastAsia="hr-HR"/>
              </w:rPr>
            </w:pPr>
            <w:r w:rsidRPr="002A770F">
              <w:rPr>
                <w:color w:val="000000"/>
                <w:sz w:val="20"/>
                <w:szCs w:val="20"/>
                <w:lang w:eastAsia="hr-HR"/>
              </w:rPr>
              <w:t>0</w:t>
            </w:r>
          </w:p>
        </w:tc>
      </w:tr>
      <w:tr w:rsidR="002A770F" w:rsidRPr="002A770F" w:rsidTr="00CD5616">
        <w:trPr>
          <w:trHeight w:val="270"/>
        </w:trPr>
        <w:tc>
          <w:tcPr>
            <w:tcW w:w="2440" w:type="dxa"/>
            <w:tcBorders>
              <w:top w:val="nil"/>
              <w:left w:val="single" w:sz="8" w:space="0" w:color="auto"/>
              <w:bottom w:val="single" w:sz="8" w:space="0" w:color="000000"/>
              <w:right w:val="nil"/>
            </w:tcBorders>
            <w:shd w:val="clear" w:color="auto" w:fill="auto"/>
            <w:vAlign w:val="center"/>
            <w:hideMark/>
          </w:tcPr>
          <w:p w:rsidR="002A770F" w:rsidRPr="002A770F" w:rsidRDefault="002A770F" w:rsidP="002A770F">
            <w:pPr>
              <w:suppressAutoHyphens w:val="0"/>
              <w:jc w:val="both"/>
              <w:rPr>
                <w:b/>
                <w:bCs/>
                <w:color w:val="000000"/>
                <w:sz w:val="20"/>
                <w:szCs w:val="20"/>
                <w:lang w:eastAsia="hr-HR"/>
              </w:rPr>
            </w:pPr>
            <w:r w:rsidRPr="002A770F">
              <w:rPr>
                <w:b/>
                <w:bCs/>
                <w:color w:val="000000"/>
                <w:sz w:val="20"/>
                <w:szCs w:val="20"/>
                <w:lang w:eastAsia="hr-HR"/>
              </w:rPr>
              <w:t>Sveukupno eliminacija</w:t>
            </w:r>
          </w:p>
        </w:tc>
        <w:tc>
          <w:tcPr>
            <w:tcW w:w="1398"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7.327.854</w:t>
            </w:r>
          </w:p>
        </w:tc>
        <w:tc>
          <w:tcPr>
            <w:tcW w:w="1134"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559"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7.327.854</w:t>
            </w:r>
          </w:p>
        </w:tc>
        <w:tc>
          <w:tcPr>
            <w:tcW w:w="1417" w:type="dxa"/>
            <w:tcBorders>
              <w:top w:val="nil"/>
              <w:left w:val="single" w:sz="8" w:space="0" w:color="000000"/>
              <w:bottom w:val="single" w:sz="8" w:space="0" w:color="000000"/>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276" w:type="dxa"/>
            <w:tcBorders>
              <w:top w:val="nil"/>
              <w:left w:val="single" w:sz="8" w:space="0" w:color="000000"/>
              <w:bottom w:val="single" w:sz="8" w:space="0" w:color="000000"/>
              <w:right w:val="single" w:sz="8" w:space="0" w:color="auto"/>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0</w:t>
            </w:r>
          </w:p>
        </w:tc>
      </w:tr>
      <w:tr w:rsidR="002A770F" w:rsidRPr="002A770F" w:rsidTr="00CD5616">
        <w:trPr>
          <w:trHeight w:val="270"/>
        </w:trPr>
        <w:tc>
          <w:tcPr>
            <w:tcW w:w="2440" w:type="dxa"/>
            <w:tcBorders>
              <w:top w:val="nil"/>
              <w:left w:val="single" w:sz="8" w:space="0" w:color="auto"/>
              <w:bottom w:val="single" w:sz="8" w:space="0" w:color="auto"/>
              <w:right w:val="nil"/>
            </w:tcBorders>
            <w:shd w:val="clear" w:color="auto" w:fill="auto"/>
            <w:vAlign w:val="center"/>
            <w:hideMark/>
          </w:tcPr>
          <w:p w:rsidR="002A770F" w:rsidRPr="002A770F" w:rsidRDefault="002A770F" w:rsidP="002A770F">
            <w:pPr>
              <w:suppressAutoHyphens w:val="0"/>
              <w:jc w:val="both"/>
              <w:rPr>
                <w:b/>
                <w:bCs/>
                <w:color w:val="000000"/>
                <w:sz w:val="20"/>
                <w:szCs w:val="20"/>
                <w:lang w:eastAsia="hr-HR"/>
              </w:rPr>
            </w:pPr>
            <w:r w:rsidRPr="002A770F">
              <w:rPr>
                <w:b/>
                <w:bCs/>
                <w:color w:val="000000"/>
                <w:sz w:val="20"/>
                <w:szCs w:val="20"/>
                <w:lang w:eastAsia="hr-HR"/>
              </w:rPr>
              <w:t>Sveukupno</w:t>
            </w:r>
          </w:p>
        </w:tc>
        <w:tc>
          <w:tcPr>
            <w:tcW w:w="1398" w:type="dxa"/>
            <w:tcBorders>
              <w:top w:val="nil"/>
              <w:left w:val="single" w:sz="8" w:space="0" w:color="000000"/>
              <w:bottom w:val="single" w:sz="8" w:space="0" w:color="auto"/>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35.099.524</w:t>
            </w:r>
          </w:p>
        </w:tc>
        <w:tc>
          <w:tcPr>
            <w:tcW w:w="1134" w:type="dxa"/>
            <w:tcBorders>
              <w:top w:val="nil"/>
              <w:left w:val="single" w:sz="8" w:space="0" w:color="000000"/>
              <w:bottom w:val="single" w:sz="8" w:space="0" w:color="auto"/>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559" w:type="dxa"/>
            <w:tcBorders>
              <w:top w:val="nil"/>
              <w:left w:val="single" w:sz="8" w:space="0" w:color="000000"/>
              <w:bottom w:val="single" w:sz="8" w:space="0" w:color="auto"/>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35.912.385</w:t>
            </w:r>
          </w:p>
        </w:tc>
        <w:tc>
          <w:tcPr>
            <w:tcW w:w="1417" w:type="dxa"/>
            <w:tcBorders>
              <w:top w:val="nil"/>
              <w:left w:val="single" w:sz="8" w:space="0" w:color="000000"/>
              <w:bottom w:val="single" w:sz="8" w:space="0" w:color="auto"/>
              <w:right w:val="nil"/>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 </w:t>
            </w:r>
          </w:p>
        </w:tc>
        <w:tc>
          <w:tcPr>
            <w:tcW w:w="1276" w:type="dxa"/>
            <w:tcBorders>
              <w:top w:val="nil"/>
              <w:left w:val="single" w:sz="8" w:space="0" w:color="000000"/>
              <w:bottom w:val="single" w:sz="8" w:space="0" w:color="auto"/>
              <w:right w:val="single" w:sz="8" w:space="0" w:color="auto"/>
            </w:tcBorders>
            <w:shd w:val="clear" w:color="auto" w:fill="auto"/>
            <w:vAlign w:val="center"/>
            <w:hideMark/>
          </w:tcPr>
          <w:p w:rsidR="002A770F" w:rsidRPr="002A770F" w:rsidRDefault="002A770F" w:rsidP="002A770F">
            <w:pPr>
              <w:suppressAutoHyphens w:val="0"/>
              <w:jc w:val="right"/>
              <w:rPr>
                <w:b/>
                <w:bCs/>
                <w:color w:val="000000"/>
                <w:sz w:val="20"/>
                <w:szCs w:val="20"/>
                <w:lang w:eastAsia="hr-HR"/>
              </w:rPr>
            </w:pPr>
            <w:r w:rsidRPr="002A770F">
              <w:rPr>
                <w:b/>
                <w:bCs/>
                <w:color w:val="000000"/>
                <w:sz w:val="20"/>
                <w:szCs w:val="20"/>
                <w:lang w:eastAsia="hr-HR"/>
              </w:rPr>
              <w:t>-812.861</w:t>
            </w:r>
          </w:p>
        </w:tc>
      </w:tr>
    </w:tbl>
    <w:p w:rsidR="002A770F" w:rsidRDefault="002A770F" w:rsidP="002A770F">
      <w:pPr>
        <w:jc w:val="both"/>
      </w:pPr>
    </w:p>
    <w:p w:rsidR="00DD5633" w:rsidRDefault="00DD5633" w:rsidP="00DD5633">
      <w:pPr>
        <w:jc w:val="both"/>
        <w:rPr>
          <w:vanish/>
        </w:rPr>
      </w:pPr>
    </w:p>
    <w:p w:rsidR="00323D92" w:rsidRDefault="00323D92" w:rsidP="00DD5633">
      <w:pPr>
        <w:jc w:val="both"/>
        <w:rPr>
          <w:u w:val="single"/>
        </w:rPr>
      </w:pPr>
    </w:p>
    <w:p w:rsidR="00DD5633" w:rsidRDefault="00DD5633" w:rsidP="00DD5633">
      <w:pPr>
        <w:jc w:val="both"/>
      </w:pPr>
      <w:r>
        <w:rPr>
          <w:u w:val="single"/>
        </w:rPr>
        <w:t>Bilješka broj 2</w:t>
      </w:r>
      <w:r w:rsidR="00DF2BB4">
        <w:rPr>
          <w:u w:val="single"/>
        </w:rPr>
        <w:t>5</w:t>
      </w:r>
      <w:r>
        <w:rPr>
          <w:u w:val="single"/>
        </w:rPr>
        <w:t xml:space="preserve">. vezana za AOP oznaku 634 Manjak prihoda i primitaka preneseni </w:t>
      </w:r>
    </w:p>
    <w:p w:rsidR="00DD5633" w:rsidRDefault="00DD5633" w:rsidP="00DD5633">
      <w:pPr>
        <w:jc w:val="both"/>
        <w:rPr>
          <w:u w:val="single"/>
        </w:rPr>
      </w:pPr>
    </w:p>
    <w:p w:rsidR="00DD5633" w:rsidRDefault="00DD5633" w:rsidP="00DD5633">
      <w:pPr>
        <w:jc w:val="both"/>
      </w:pPr>
      <w:r>
        <w:t>Manjak prihoda i primitaka Grada Slatine, utvrđen je Odlukom Gradskog vijeća o raspodjeli poslovnog rezultata iz 2016. godine za Grad u visini od 2.892.745 kuna , te viška vlastitih i namjenskih prihoda proračunskih korisnika u visini 792.510 kuna i  65,1%  je manji nego prošle godine, sastoji se od:</w:t>
      </w:r>
    </w:p>
    <w:p w:rsidR="00DD5633" w:rsidRDefault="00DD5633" w:rsidP="00DD5633">
      <w:pPr>
        <w:numPr>
          <w:ilvl w:val="0"/>
          <w:numId w:val="9"/>
        </w:numPr>
        <w:jc w:val="both"/>
      </w:pPr>
      <w:r>
        <w:t>AOP 408 Manjka prihoda od nefinancijske imovine prenesenih u visini 4.968.281 kunu, nastalih kao rezultat ostvarenog manjka prihoda od nefinancijske imovine Grada u visini 5.760.791 kunu te viška prihoda proračunskih korisnika u visini od 792.510 kuna,</w:t>
      </w:r>
    </w:p>
    <w:p w:rsidR="00DD5633" w:rsidRDefault="00DD5633" w:rsidP="00DD5633">
      <w:pPr>
        <w:numPr>
          <w:ilvl w:val="0"/>
          <w:numId w:val="9"/>
        </w:numPr>
        <w:jc w:val="both"/>
      </w:pPr>
      <w:r>
        <w:t xml:space="preserve">AOP 627 Viška prihoda od financijske imovine prenesenih u visini 2.868.046 kuna kod Grada. </w:t>
      </w:r>
    </w:p>
    <w:p w:rsidR="00DD5633" w:rsidRDefault="00DD5633" w:rsidP="00DD5633">
      <w:pPr>
        <w:jc w:val="both"/>
        <w:rPr>
          <w:u w:val="single"/>
        </w:rPr>
      </w:pPr>
    </w:p>
    <w:p w:rsidR="00DD5633" w:rsidRDefault="00DD5633" w:rsidP="00DD5633">
      <w:pPr>
        <w:jc w:val="both"/>
      </w:pPr>
      <w:r>
        <w:rPr>
          <w:u w:val="single"/>
        </w:rPr>
        <w:t>Bilješka broj 2</w:t>
      </w:r>
      <w:r w:rsidR="00DF2BB4">
        <w:rPr>
          <w:u w:val="single"/>
        </w:rPr>
        <w:t>6</w:t>
      </w:r>
      <w:r>
        <w:rPr>
          <w:u w:val="single"/>
        </w:rPr>
        <w:t>. vezana za AOP oznaku 636 Manjak prihoda i primitaka za pokriće u sljedećem razdoblju</w:t>
      </w:r>
    </w:p>
    <w:p w:rsidR="00DD5633" w:rsidRDefault="00DD5633" w:rsidP="00DD5633">
      <w:pPr>
        <w:jc w:val="both"/>
        <w:rPr>
          <w:u w:val="single"/>
        </w:rPr>
      </w:pPr>
    </w:p>
    <w:p w:rsidR="00DD5633" w:rsidRDefault="00DD5633" w:rsidP="00DD5633">
      <w:pPr>
        <w:jc w:val="both"/>
      </w:pPr>
      <w:r>
        <w:t>Manjak  prihoda i primitaka za pokriće u slijedećem razdoblju</w:t>
      </w:r>
      <w:r>
        <w:rPr>
          <w:b/>
        </w:rPr>
        <w:t xml:space="preserve"> – </w:t>
      </w:r>
      <w:r>
        <w:t xml:space="preserve">ostvaren je u visini od 2.913.096 kuna. Nastao je kao rezultat </w:t>
      </w:r>
      <w:r w:rsidR="00270B2B">
        <w:t>zbroja manjka</w:t>
      </w:r>
      <w:r>
        <w:t xml:space="preserve"> prihoda i primitaka tekuće godine ostvarenog u visini 812.861 kunu i  prenesenog manjka prihoda iz 2016. godine u visini 2.100.235 kuna.</w:t>
      </w:r>
    </w:p>
    <w:p w:rsidR="00DD5633" w:rsidRDefault="00DD5633" w:rsidP="00DD5633">
      <w:pPr>
        <w:jc w:val="both"/>
        <w:rPr>
          <w:u w:val="single"/>
        </w:rPr>
      </w:pPr>
    </w:p>
    <w:p w:rsidR="00DD5633" w:rsidRDefault="00DD5633" w:rsidP="00DD5633">
      <w:pPr>
        <w:jc w:val="both"/>
      </w:pPr>
      <w:r>
        <w:rPr>
          <w:u w:val="single"/>
        </w:rPr>
        <w:t>Bilješka broj 2</w:t>
      </w:r>
      <w:r w:rsidR="00DF2BB4">
        <w:rPr>
          <w:u w:val="single"/>
        </w:rPr>
        <w:t>7</w:t>
      </w:r>
      <w:r>
        <w:rPr>
          <w:u w:val="single"/>
        </w:rPr>
        <w:t xml:space="preserve">. vezana za AOP oznaku 641 Stanje novčanih sredstava na kraju izvještajnog razdoblja  </w:t>
      </w:r>
    </w:p>
    <w:p w:rsidR="00DD5633" w:rsidRDefault="00DD5633" w:rsidP="00DD5633">
      <w:pPr>
        <w:jc w:val="both"/>
        <w:rPr>
          <w:u w:val="single"/>
        </w:rPr>
      </w:pPr>
    </w:p>
    <w:p w:rsidR="00DD5633" w:rsidRDefault="00DD5633" w:rsidP="00DD5633">
      <w:pPr>
        <w:jc w:val="both"/>
      </w:pPr>
      <w:r>
        <w:t>Stanje novčanih sredstava na kraju izvještajnog razdoblja iznosi ukupno 1.866.405   kuna, a nalazi se na računima Grada i proračunskih korisnika u slijedećim iznosima:</w:t>
      </w:r>
    </w:p>
    <w:p w:rsidR="00DD5633" w:rsidRDefault="00DD5633" w:rsidP="00DD5633">
      <w:pPr>
        <w:jc w:val="both"/>
      </w:pPr>
      <w:r>
        <w:t xml:space="preserve">          </w:t>
      </w:r>
      <w:r>
        <w:rPr>
          <w:lang w:val="pl-PL"/>
        </w:rPr>
        <w:t>- Grad Slatina  u iznosu od                                                          1.858.726  kuna</w:t>
      </w:r>
    </w:p>
    <w:p w:rsidR="00DD5633" w:rsidRDefault="00DD5633" w:rsidP="00DD5633">
      <w:pPr>
        <w:jc w:val="both"/>
      </w:pPr>
      <w:r>
        <w:rPr>
          <w:lang w:val="pl-PL"/>
        </w:rPr>
        <w:t xml:space="preserve">          - Pučko otvoreno učilište u Slatini                                                      1.000 kuna</w:t>
      </w:r>
    </w:p>
    <w:p w:rsidR="00DD5633" w:rsidRDefault="00DD5633" w:rsidP="00DD5633">
      <w:pPr>
        <w:jc w:val="both"/>
      </w:pPr>
      <w:r>
        <w:rPr>
          <w:lang w:val="pl-PL"/>
        </w:rPr>
        <w:t xml:space="preserve">          - Gradska knjižnica i čitaonica Slatina                                                       0 kuna</w:t>
      </w:r>
    </w:p>
    <w:p w:rsidR="00DD5633" w:rsidRDefault="00DD5633" w:rsidP="00DD5633">
      <w:pPr>
        <w:jc w:val="both"/>
      </w:pPr>
      <w:r>
        <w:rPr>
          <w:lang w:val="pl-PL"/>
        </w:rPr>
        <w:t xml:space="preserve">          - Zavičajni muzej Slatina                                                                            0 kuna</w:t>
      </w:r>
    </w:p>
    <w:p w:rsidR="00DD5633" w:rsidRDefault="00DD5633" w:rsidP="00DD5633">
      <w:pPr>
        <w:jc w:val="both"/>
      </w:pPr>
      <w:r>
        <w:rPr>
          <w:lang w:val="pl-PL"/>
        </w:rPr>
        <w:lastRenderedPageBreak/>
        <w:t xml:space="preserve">          - JVP Grada Slatine                                                                                    0 kuna</w:t>
      </w:r>
    </w:p>
    <w:p w:rsidR="00DD5633" w:rsidRDefault="00DD5633" w:rsidP="00DD5633">
      <w:pPr>
        <w:jc w:val="both"/>
      </w:pPr>
      <w:r>
        <w:rPr>
          <w:lang w:val="pl-PL"/>
        </w:rPr>
        <w:t xml:space="preserve">          - Gradska razvojna agencija Grada Slatine                                          4.001 kunu</w:t>
      </w:r>
    </w:p>
    <w:p w:rsidR="00DD5633" w:rsidRDefault="00DD5633" w:rsidP="00DD5633">
      <w:pPr>
        <w:jc w:val="both"/>
      </w:pPr>
      <w:r>
        <w:rPr>
          <w:lang w:val="pl-PL"/>
        </w:rPr>
        <w:t xml:space="preserve">          - Vijeće srpske nacionalne manjine                                                     2.678 kuna.</w:t>
      </w:r>
    </w:p>
    <w:p w:rsidR="00DD5633" w:rsidRDefault="00DD5633" w:rsidP="00DD5633">
      <w:pPr>
        <w:jc w:val="both"/>
        <w:rPr>
          <w:lang w:val="pl-PL"/>
        </w:rPr>
      </w:pPr>
    </w:p>
    <w:p w:rsidR="00DD5633" w:rsidRDefault="00DD5633" w:rsidP="00DD5633">
      <w:pPr>
        <w:pStyle w:val="Naslov1"/>
        <w:jc w:val="both"/>
      </w:pPr>
      <w:r>
        <w:rPr>
          <w:u w:val="none"/>
        </w:rPr>
        <w:t>Bilješke uz Izvještaj o rashodima, prema funkcijskoj klasifikaciji – uz obrazac: RAS- funkcijski</w:t>
      </w:r>
    </w:p>
    <w:p w:rsidR="00DD5633" w:rsidRDefault="00DD5633" w:rsidP="00DD5633">
      <w:pPr>
        <w:jc w:val="both"/>
        <w:rPr>
          <w:u w:val="single"/>
        </w:rPr>
      </w:pPr>
    </w:p>
    <w:p w:rsidR="00DD5633" w:rsidRDefault="00DD5633" w:rsidP="00DD5633">
      <w:pPr>
        <w:pStyle w:val="Standard"/>
        <w:jc w:val="both"/>
        <w:rPr>
          <w:rFonts w:hint="eastAsia"/>
        </w:rPr>
      </w:pPr>
      <w:r>
        <w:rPr>
          <w:rFonts w:ascii="Times New Roman" w:hAnsi="Times New Roman" w:cs="Times New Roman"/>
          <w:u w:val="single"/>
        </w:rPr>
        <w:t>Bilješka broj 1. vezana uz AOP oznaku 001 Opće javne usluge</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 xml:space="preserve">Opće javne usluge ostvarene su u tekućoj godini </w:t>
      </w:r>
      <w:r w:rsidR="00270B2B">
        <w:rPr>
          <w:rFonts w:ascii="Times New Roman" w:hAnsi="Times New Roman" w:cs="Times New Roman"/>
        </w:rPr>
        <w:t xml:space="preserve"> 7,0</w:t>
      </w:r>
      <w:r>
        <w:rPr>
          <w:rFonts w:ascii="Times New Roman" w:hAnsi="Times New Roman" w:cs="Times New Roman"/>
        </w:rPr>
        <w:t>% više nego prethodne godine, a  iz izvještaja je moguće vidjeti da su promjene evidentirane na:</w:t>
      </w:r>
    </w:p>
    <w:p w:rsidR="00DD5633" w:rsidRDefault="00DD5633" w:rsidP="00DD5633">
      <w:pPr>
        <w:pStyle w:val="Standard"/>
        <w:numPr>
          <w:ilvl w:val="0"/>
          <w:numId w:val="14"/>
        </w:numPr>
        <w:jc w:val="both"/>
        <w:rPr>
          <w:rFonts w:hint="eastAsia"/>
        </w:rPr>
      </w:pPr>
      <w:r>
        <w:rPr>
          <w:rFonts w:ascii="Times New Roman" w:hAnsi="Times New Roman" w:cs="Times New Roman"/>
        </w:rPr>
        <w:t>AOP 002 Izvršna i zakonodavna tijela, financijski i  fiskalni poslovi, vanjsk</w:t>
      </w:r>
      <w:r w:rsidR="00614897">
        <w:rPr>
          <w:rFonts w:ascii="Times New Roman" w:hAnsi="Times New Roman" w:cs="Times New Roman"/>
        </w:rPr>
        <w:t>i poslovi s povećanjem za 5,9 %</w:t>
      </w:r>
      <w:r w:rsidR="00B46C62">
        <w:rPr>
          <w:rFonts w:ascii="Times New Roman" w:hAnsi="Times New Roman" w:cs="Times New Roman"/>
        </w:rPr>
        <w:t xml:space="preserve">. Iz </w:t>
      </w:r>
      <w:r w:rsidR="002F2DAD">
        <w:rPr>
          <w:rFonts w:ascii="Times New Roman" w:hAnsi="Times New Roman" w:cs="Times New Roman"/>
        </w:rPr>
        <w:t xml:space="preserve">izvještaja razine 22 </w:t>
      </w:r>
      <w:r w:rsidR="00B46C62">
        <w:rPr>
          <w:rFonts w:ascii="Times New Roman" w:hAnsi="Times New Roman" w:cs="Times New Roman"/>
        </w:rPr>
        <w:t>eliminiran je iznos od 40.000,00 kuna, zato što se odnosi na aktivnosti Vijeća srpske nacionalne manjine, koja je ta sredstva rasporedila na funkcije kulture</w:t>
      </w:r>
      <w:r w:rsidR="002F2DAD">
        <w:rPr>
          <w:rFonts w:ascii="Times New Roman" w:hAnsi="Times New Roman" w:cs="Times New Roman"/>
        </w:rPr>
        <w:t>.</w:t>
      </w:r>
      <w:r w:rsidR="00B46C62">
        <w:rPr>
          <w:rFonts w:ascii="Times New Roman" w:hAnsi="Times New Roman" w:cs="Times New Roman"/>
        </w:rPr>
        <w:t xml:space="preserve"> </w:t>
      </w:r>
    </w:p>
    <w:p w:rsidR="00DD5633" w:rsidRDefault="00DD5633" w:rsidP="00DD5633">
      <w:pPr>
        <w:pStyle w:val="Standard"/>
        <w:numPr>
          <w:ilvl w:val="0"/>
          <w:numId w:val="14"/>
        </w:numPr>
        <w:jc w:val="both"/>
        <w:rPr>
          <w:rFonts w:hint="eastAsia"/>
        </w:rPr>
      </w:pPr>
      <w:r>
        <w:rPr>
          <w:rFonts w:ascii="Times New Roman" w:hAnsi="Times New Roman" w:cs="Times New Roman"/>
        </w:rPr>
        <w:t xml:space="preserve">AOP 009 Opće usluge </w:t>
      </w:r>
      <w:r w:rsidR="00752C67">
        <w:rPr>
          <w:rFonts w:ascii="Times New Roman" w:hAnsi="Times New Roman" w:cs="Times New Roman"/>
        </w:rPr>
        <w:t>s povećanjem 46% a s</w:t>
      </w:r>
      <w:r>
        <w:rPr>
          <w:rFonts w:ascii="Times New Roman" w:hAnsi="Times New Roman" w:cs="Times New Roman"/>
        </w:rPr>
        <w:t>adrže</w:t>
      </w:r>
      <w:r w:rsidR="008F5124">
        <w:rPr>
          <w:rFonts w:ascii="Times New Roman" w:hAnsi="Times New Roman" w:cs="Times New Roman"/>
        </w:rPr>
        <w:t xml:space="preserve"> veća ulaganja u</w:t>
      </w:r>
      <w:r w:rsidR="00752C67">
        <w:rPr>
          <w:rFonts w:ascii="Times New Roman" w:hAnsi="Times New Roman" w:cs="Times New Roman"/>
        </w:rPr>
        <w:t xml:space="preserve"> aktivnosti koje je</w:t>
      </w:r>
      <w:r>
        <w:rPr>
          <w:rFonts w:ascii="Times New Roman" w:hAnsi="Times New Roman" w:cs="Times New Roman"/>
        </w:rPr>
        <w:t xml:space="preserve"> </w:t>
      </w:r>
      <w:r w:rsidR="00752C67">
        <w:rPr>
          <w:rFonts w:ascii="Times New Roman" w:hAnsi="Times New Roman" w:cs="Times New Roman"/>
        </w:rPr>
        <w:t>ostvarila  Gradska razvojna agencija</w:t>
      </w:r>
      <w:r w:rsidR="008F5124">
        <w:rPr>
          <w:rFonts w:ascii="Times New Roman" w:hAnsi="Times New Roman" w:cs="Times New Roman"/>
        </w:rPr>
        <w:t xml:space="preserve"> Grada Slatine.</w:t>
      </w:r>
    </w:p>
    <w:p w:rsidR="00DD5633" w:rsidRDefault="00DD5633" w:rsidP="00DD5633">
      <w:pPr>
        <w:pStyle w:val="Standard"/>
        <w:ind w:left="360"/>
        <w:jc w:val="both"/>
        <w:rPr>
          <w:rFonts w:ascii="Times New Roman" w:hAnsi="Times New Roman" w:cs="Times New Roman"/>
        </w:rPr>
      </w:pPr>
    </w:p>
    <w:p w:rsidR="00DD5633" w:rsidRDefault="00DD5633" w:rsidP="00DD5633">
      <w:pPr>
        <w:pStyle w:val="Standard"/>
        <w:jc w:val="both"/>
        <w:rPr>
          <w:rFonts w:hint="eastAsia"/>
        </w:rPr>
      </w:pPr>
      <w:r>
        <w:rPr>
          <w:rFonts w:ascii="Times New Roman" w:hAnsi="Times New Roman" w:cs="Times New Roman"/>
          <w:u w:val="single"/>
        </w:rPr>
        <w:t>Bilješka broj 2.vezana uz AOP oznaku 018 Obrana</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ascii="Times New Roman" w:hAnsi="Times New Roman" w:cs="Times New Roman"/>
        </w:rPr>
      </w:pPr>
      <w:r>
        <w:rPr>
          <w:rFonts w:ascii="Times New Roman" w:hAnsi="Times New Roman" w:cs="Times New Roman"/>
        </w:rPr>
        <w:t xml:space="preserve">Tijekom 2017. </w:t>
      </w:r>
      <w:r w:rsidR="00752C67">
        <w:rPr>
          <w:rFonts w:ascii="Times New Roman" w:hAnsi="Times New Roman" w:cs="Times New Roman"/>
        </w:rPr>
        <w:t>g</w:t>
      </w:r>
      <w:r>
        <w:rPr>
          <w:rFonts w:ascii="Times New Roman" w:hAnsi="Times New Roman" w:cs="Times New Roman"/>
        </w:rPr>
        <w:t>odine izvršena su ulaganja u visini 50.072 kune za civilnu zaštitu</w:t>
      </w:r>
      <w:r w:rsidR="00752C67">
        <w:rPr>
          <w:rFonts w:ascii="Times New Roman" w:hAnsi="Times New Roman" w:cs="Times New Roman"/>
        </w:rPr>
        <w:t>,</w:t>
      </w:r>
      <w:r>
        <w:rPr>
          <w:rFonts w:ascii="Times New Roman" w:hAnsi="Times New Roman" w:cs="Times New Roman"/>
        </w:rPr>
        <w:t xml:space="preserve"> nabavom Plana zaštite i spašavanja te na nabavom opreme za tim civilne zaštite,</w:t>
      </w:r>
      <w:r w:rsidR="00752C67">
        <w:rPr>
          <w:rFonts w:ascii="Times New Roman" w:hAnsi="Times New Roman" w:cs="Times New Roman"/>
        </w:rPr>
        <w:t xml:space="preserve"> </w:t>
      </w:r>
      <w:r>
        <w:rPr>
          <w:rFonts w:ascii="Times New Roman" w:hAnsi="Times New Roman" w:cs="Times New Roman"/>
        </w:rPr>
        <w:t>te je zabilježeno povećanje u odnosu na prošlu godinu 267,9%.</w:t>
      </w:r>
    </w:p>
    <w:p w:rsidR="00752C67" w:rsidRDefault="00752C67" w:rsidP="00DD5633">
      <w:pPr>
        <w:pStyle w:val="Standard"/>
        <w:jc w:val="both"/>
        <w:rPr>
          <w:rFonts w:hint="eastAsia"/>
        </w:rPr>
      </w:pPr>
    </w:p>
    <w:p w:rsidR="00DD5633" w:rsidRDefault="00DD5633" w:rsidP="00DD5633">
      <w:pPr>
        <w:pStyle w:val="Standard"/>
        <w:jc w:val="both"/>
        <w:rPr>
          <w:rFonts w:hint="eastAsia"/>
        </w:rPr>
      </w:pPr>
      <w:r>
        <w:rPr>
          <w:rFonts w:ascii="Times New Roman" w:hAnsi="Times New Roman" w:cs="Times New Roman"/>
          <w:u w:val="single"/>
        </w:rPr>
        <w:t>Bilješka broj 3. vezana za AOP oznaku 024 Javni red i sigurnost</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Tijekom 2017. zabilježena su ulaganja u usluge protupožarne zaštite kroz financiranje Vatrogasne zajednice Grada Slatine i rashoda prikazanih kod Javne vat</w:t>
      </w:r>
      <w:r w:rsidR="00752C67">
        <w:rPr>
          <w:rFonts w:ascii="Times New Roman" w:hAnsi="Times New Roman" w:cs="Times New Roman"/>
        </w:rPr>
        <w:t>rogasne postrojbe Grada Slatine, 1,6% više, što ne predstavlja značajnije odstupanje.</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u w:val="single"/>
        </w:rPr>
        <w:t>Bilješka broj 4.vezana uz AOP oznaku 031 Ekonomski poslovi</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 xml:space="preserve">Ekonomski poslovi ostvareni su </w:t>
      </w:r>
      <w:r w:rsidR="008F5124">
        <w:rPr>
          <w:rFonts w:ascii="Times New Roman" w:hAnsi="Times New Roman" w:cs="Times New Roman"/>
        </w:rPr>
        <w:t>4</w:t>
      </w:r>
      <w:r>
        <w:rPr>
          <w:rFonts w:ascii="Times New Roman" w:hAnsi="Times New Roman" w:cs="Times New Roman"/>
        </w:rPr>
        <w:t>8,2% više nego prethodne godine, značajnije promjene evidentirane su na:</w:t>
      </w:r>
    </w:p>
    <w:p w:rsidR="00DD5633" w:rsidRDefault="00DD5633" w:rsidP="00DD5633">
      <w:pPr>
        <w:pStyle w:val="Standard"/>
        <w:jc w:val="both"/>
        <w:rPr>
          <w:rFonts w:hint="eastAsia"/>
        </w:rPr>
      </w:pPr>
      <w:r>
        <w:rPr>
          <w:rFonts w:ascii="Times New Roman" w:hAnsi="Times New Roman" w:cs="Times New Roman"/>
        </w:rPr>
        <w:t xml:space="preserve">-     AOP 032 Opći ekonomski i trgovački poslovi vezani uz rad, koji su ostvareni </w:t>
      </w:r>
      <w:r w:rsidR="008F5124">
        <w:rPr>
          <w:rFonts w:ascii="Times New Roman" w:hAnsi="Times New Roman" w:cs="Times New Roman"/>
        </w:rPr>
        <w:t>120,1</w:t>
      </w:r>
      <w:r>
        <w:rPr>
          <w:rFonts w:ascii="Times New Roman" w:hAnsi="Times New Roman" w:cs="Times New Roman"/>
        </w:rPr>
        <w:t xml:space="preserve">% </w:t>
      </w:r>
      <w:r w:rsidR="008F5124">
        <w:rPr>
          <w:rFonts w:ascii="Times New Roman" w:hAnsi="Times New Roman" w:cs="Times New Roman"/>
        </w:rPr>
        <w:t>više</w:t>
      </w:r>
      <w:r>
        <w:rPr>
          <w:rFonts w:ascii="Times New Roman" w:hAnsi="Times New Roman" w:cs="Times New Roman"/>
        </w:rPr>
        <w:t xml:space="preserve">, </w:t>
      </w:r>
      <w:r w:rsidR="008F5124">
        <w:rPr>
          <w:rFonts w:ascii="Times New Roman" w:hAnsi="Times New Roman" w:cs="Times New Roman"/>
        </w:rPr>
        <w:t>ostvario iz je Grad kroz potpore poduzetnicima u vidu oslobađanja od plaćanja gradskih prihoda</w:t>
      </w:r>
      <w:r w:rsidR="006D6C6A">
        <w:rPr>
          <w:rFonts w:ascii="Times New Roman" w:hAnsi="Times New Roman" w:cs="Times New Roman"/>
        </w:rPr>
        <w:t>, te subvencijom kamata na poduzetničke kredite.</w:t>
      </w:r>
      <w:r>
        <w:rPr>
          <w:rFonts w:ascii="Times New Roman" w:hAnsi="Times New Roman" w:cs="Times New Roman"/>
        </w:rPr>
        <w:t xml:space="preserve"> </w:t>
      </w:r>
    </w:p>
    <w:p w:rsidR="00DD5633" w:rsidRDefault="00DD5633" w:rsidP="00DD5633">
      <w:pPr>
        <w:pStyle w:val="Standard"/>
        <w:jc w:val="both"/>
        <w:rPr>
          <w:rFonts w:hint="eastAsia"/>
        </w:rPr>
      </w:pPr>
      <w:r>
        <w:rPr>
          <w:rFonts w:ascii="Times New Roman" w:hAnsi="Times New Roman" w:cs="Times New Roman"/>
        </w:rPr>
        <w:t>-     AOP 035 Poljoprivreda, šumarstvo, ribarstvo i lov, koji su ostvareni 3,7% manje nego prethodne godine,</w:t>
      </w:r>
      <w:r w:rsidR="006D6C6A">
        <w:rPr>
          <w:rFonts w:ascii="Times New Roman" w:hAnsi="Times New Roman" w:cs="Times New Roman"/>
        </w:rPr>
        <w:t xml:space="preserve"> zbog manjih aktivnost.</w:t>
      </w:r>
    </w:p>
    <w:p w:rsidR="00DD5633" w:rsidRDefault="00DD5633" w:rsidP="00DD5633">
      <w:pPr>
        <w:pStyle w:val="Standard"/>
        <w:jc w:val="both"/>
        <w:rPr>
          <w:rFonts w:hint="eastAsia"/>
        </w:rPr>
      </w:pPr>
      <w:r>
        <w:rPr>
          <w:rFonts w:ascii="Times New Roman" w:hAnsi="Times New Roman" w:cs="Times New Roman"/>
        </w:rPr>
        <w:t>-      AOP 050 Promet, gdje su zabilježena ulaganja u promet 55,5% više,</w:t>
      </w:r>
      <w:r w:rsidR="006D6C6A">
        <w:rPr>
          <w:rFonts w:ascii="Times New Roman" w:hAnsi="Times New Roman" w:cs="Times New Roman"/>
        </w:rPr>
        <w:t xml:space="preserve"> zbog većih aktivnosti tijekom godine u </w:t>
      </w:r>
      <w:r w:rsidR="00362695">
        <w:rPr>
          <w:rFonts w:ascii="Times New Roman" w:hAnsi="Times New Roman" w:cs="Times New Roman"/>
        </w:rPr>
        <w:t>programe održavanja i izgradnje cestovne infrastrukture.</w:t>
      </w:r>
    </w:p>
    <w:p w:rsidR="00DD5633" w:rsidRDefault="00DD5633" w:rsidP="00DD5633">
      <w:pPr>
        <w:pStyle w:val="Standard"/>
        <w:jc w:val="both"/>
        <w:rPr>
          <w:rFonts w:hint="eastAsia"/>
        </w:rPr>
      </w:pPr>
      <w:r>
        <w:rPr>
          <w:rFonts w:ascii="Times New Roman" w:hAnsi="Times New Roman" w:cs="Times New Roman"/>
        </w:rPr>
        <w:t xml:space="preserve">-     </w:t>
      </w:r>
      <w:r w:rsidR="00362695">
        <w:rPr>
          <w:rFonts w:ascii="Times New Roman" w:hAnsi="Times New Roman" w:cs="Times New Roman"/>
        </w:rPr>
        <w:tab/>
      </w:r>
      <w:r>
        <w:rPr>
          <w:rFonts w:ascii="Times New Roman" w:hAnsi="Times New Roman" w:cs="Times New Roman"/>
        </w:rPr>
        <w:t xml:space="preserve"> AOP 056 Komunikacije, gdje su zabilježena ulaganja za 87,5% manje nego 2016. godine,</w:t>
      </w:r>
      <w:r w:rsidR="00362695">
        <w:rPr>
          <w:rFonts w:ascii="Times New Roman" w:hAnsi="Times New Roman" w:cs="Times New Roman"/>
        </w:rPr>
        <w:t xml:space="preserve"> zato što je prošle godine više bilo ulaganja u projekte za razvoj širokopojasnog </w:t>
      </w:r>
      <w:proofErr w:type="spellStart"/>
      <w:r w:rsidR="00362695">
        <w:rPr>
          <w:rFonts w:ascii="Times New Roman" w:hAnsi="Times New Roman" w:cs="Times New Roman"/>
        </w:rPr>
        <w:t>interneta</w:t>
      </w:r>
      <w:proofErr w:type="spellEnd"/>
      <w:r w:rsidR="00362695">
        <w:rPr>
          <w:rFonts w:ascii="Times New Roman" w:hAnsi="Times New Roman" w:cs="Times New Roman"/>
        </w:rPr>
        <w:t>, koji su dovršeni tijekom 2017.</w:t>
      </w:r>
    </w:p>
    <w:p w:rsidR="00DD5633" w:rsidRDefault="00DD5633" w:rsidP="00DD5633">
      <w:pPr>
        <w:pStyle w:val="Standard"/>
        <w:jc w:val="both"/>
        <w:rPr>
          <w:rFonts w:hint="eastAsia"/>
        </w:rPr>
      </w:pPr>
      <w:r>
        <w:rPr>
          <w:rFonts w:ascii="Times New Roman" w:hAnsi="Times New Roman" w:cs="Times New Roman"/>
        </w:rPr>
        <w:t>-     AOP 057 Ostale industrije bilježe porast od 53,9% u odnosu na prošlu godinu zbog značajnijeg ulaganja u turizam.</w:t>
      </w:r>
    </w:p>
    <w:p w:rsidR="00DD5633" w:rsidRDefault="00DD5633" w:rsidP="00DD5633">
      <w:pPr>
        <w:pStyle w:val="Standard"/>
        <w:ind w:left="360"/>
        <w:jc w:val="both"/>
        <w:rPr>
          <w:rFonts w:ascii="Times New Roman" w:hAnsi="Times New Roman" w:cs="Times New Roman"/>
        </w:rPr>
      </w:pPr>
    </w:p>
    <w:p w:rsidR="00DD5633" w:rsidRDefault="00DD5633" w:rsidP="00DD5633">
      <w:pPr>
        <w:pStyle w:val="Standard"/>
        <w:jc w:val="both"/>
        <w:rPr>
          <w:rFonts w:hint="eastAsia"/>
        </w:rPr>
      </w:pPr>
      <w:r>
        <w:rPr>
          <w:rFonts w:ascii="Times New Roman" w:hAnsi="Times New Roman" w:cs="Times New Roman"/>
          <w:u w:val="single"/>
        </w:rPr>
        <w:t>Bilješka broj 5.vezana za AOP oznaku 071 Zaštita okoliša</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ascii="Times New Roman" w:hAnsi="Times New Roman" w:cs="Times New Roman"/>
        </w:rPr>
      </w:pPr>
      <w:r>
        <w:rPr>
          <w:rFonts w:ascii="Times New Roman" w:hAnsi="Times New Roman" w:cs="Times New Roman"/>
        </w:rPr>
        <w:lastRenderedPageBreak/>
        <w:t xml:space="preserve">Sredstva su ostvarena </w:t>
      </w:r>
      <w:r w:rsidR="007E41D3">
        <w:rPr>
          <w:rFonts w:ascii="Times New Roman" w:hAnsi="Times New Roman" w:cs="Times New Roman"/>
        </w:rPr>
        <w:t xml:space="preserve">22% manje nego 2016., a ostvarena su </w:t>
      </w:r>
      <w:r>
        <w:rPr>
          <w:rFonts w:ascii="Times New Roman" w:hAnsi="Times New Roman" w:cs="Times New Roman"/>
        </w:rPr>
        <w:t>u visini 79.311 kuna</w:t>
      </w:r>
      <w:r w:rsidR="007E41D3">
        <w:rPr>
          <w:rFonts w:ascii="Times New Roman" w:hAnsi="Times New Roman" w:cs="Times New Roman"/>
        </w:rPr>
        <w:t xml:space="preserve"> </w:t>
      </w:r>
      <w:r>
        <w:rPr>
          <w:rFonts w:ascii="Times New Roman" w:hAnsi="Times New Roman" w:cs="Times New Roman"/>
        </w:rPr>
        <w:t xml:space="preserve"> ulaganje</w:t>
      </w:r>
      <w:r w:rsidR="007E41D3">
        <w:rPr>
          <w:rFonts w:ascii="Times New Roman" w:hAnsi="Times New Roman" w:cs="Times New Roman"/>
        </w:rPr>
        <w:t>m</w:t>
      </w:r>
      <w:r>
        <w:rPr>
          <w:rFonts w:ascii="Times New Roman" w:hAnsi="Times New Roman" w:cs="Times New Roman"/>
        </w:rPr>
        <w:t xml:space="preserve"> </w:t>
      </w:r>
      <w:r w:rsidR="00362695">
        <w:rPr>
          <w:rFonts w:ascii="Times New Roman" w:hAnsi="Times New Roman" w:cs="Times New Roman"/>
        </w:rPr>
        <w:t>u programe gospodarenja otpadom</w:t>
      </w:r>
      <w:r w:rsidR="007E41D3">
        <w:rPr>
          <w:rFonts w:ascii="Times New Roman" w:hAnsi="Times New Roman" w:cs="Times New Roman"/>
        </w:rPr>
        <w:t>.</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u w:val="single"/>
        </w:rPr>
        <w:t>Bilješka broj 6.vezana za AOP oznaku 078 Usluge unapređenja stanovanja i zajednice</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Izdvojena sredstva za unapređenje stanovanja i zajednice su 8,9% viša u odnosu na 2016. godinu, a čine ih:</w:t>
      </w:r>
    </w:p>
    <w:p w:rsidR="00DD5633" w:rsidRDefault="00DD5633" w:rsidP="00DD5633">
      <w:pPr>
        <w:pStyle w:val="Standard"/>
        <w:jc w:val="both"/>
        <w:rPr>
          <w:rFonts w:hint="eastAsia"/>
        </w:rPr>
      </w:pPr>
      <w:r>
        <w:rPr>
          <w:rFonts w:ascii="Times New Roman" w:eastAsia="Times New Roman" w:hAnsi="Times New Roman" w:cs="Times New Roman"/>
        </w:rPr>
        <w:t xml:space="preserve"> </w:t>
      </w:r>
      <w:r>
        <w:rPr>
          <w:rFonts w:ascii="Times New Roman" w:hAnsi="Times New Roman" w:cs="Times New Roman"/>
        </w:rPr>
        <w:t>-    AOP 079 Ulaganja u razvoj stanovanja koja su 3,9% viša u odnosu na proteklu</w:t>
      </w:r>
    </w:p>
    <w:p w:rsidR="00DD5633" w:rsidRDefault="00DD5633" w:rsidP="00DD5633">
      <w:pPr>
        <w:pStyle w:val="Standard"/>
        <w:jc w:val="both"/>
        <w:rPr>
          <w:rFonts w:hint="eastAsia"/>
        </w:rPr>
      </w:pPr>
      <w:r>
        <w:rPr>
          <w:rFonts w:ascii="Times New Roman" w:eastAsia="Times New Roman" w:hAnsi="Times New Roman" w:cs="Times New Roman"/>
        </w:rPr>
        <w:t xml:space="preserve">            </w:t>
      </w:r>
      <w:r>
        <w:rPr>
          <w:rFonts w:ascii="Times New Roman" w:hAnsi="Times New Roman" w:cs="Times New Roman"/>
        </w:rPr>
        <w:t>godinu,</w:t>
      </w:r>
      <w:r w:rsidR="007E41D3">
        <w:rPr>
          <w:rFonts w:ascii="Times New Roman" w:hAnsi="Times New Roman" w:cs="Times New Roman"/>
        </w:rPr>
        <w:t xml:space="preserve"> ulaganjem u održavanje komunalne infrastrukture.</w:t>
      </w:r>
    </w:p>
    <w:p w:rsidR="00DD5633" w:rsidRDefault="00DD5633" w:rsidP="00DD5633">
      <w:pPr>
        <w:pStyle w:val="Standard"/>
        <w:jc w:val="both"/>
        <w:rPr>
          <w:rFonts w:hint="eastAsia"/>
        </w:rPr>
      </w:pPr>
      <w:r>
        <w:rPr>
          <w:rFonts w:ascii="Times New Roman" w:eastAsia="Times New Roman" w:hAnsi="Times New Roman" w:cs="Times New Roman"/>
        </w:rPr>
        <w:t xml:space="preserve"> </w:t>
      </w:r>
      <w:r>
        <w:rPr>
          <w:rFonts w:ascii="Times New Roman" w:hAnsi="Times New Roman" w:cs="Times New Roman"/>
        </w:rPr>
        <w:t>-    AOP 080 Ulaganja u razvoj zajednice koja su 8,</w:t>
      </w:r>
      <w:proofErr w:type="spellStart"/>
      <w:r>
        <w:rPr>
          <w:rFonts w:ascii="Times New Roman" w:hAnsi="Times New Roman" w:cs="Times New Roman"/>
        </w:rPr>
        <w:t>8</w:t>
      </w:r>
      <w:proofErr w:type="spellEnd"/>
      <w:r>
        <w:rPr>
          <w:rFonts w:ascii="Times New Roman" w:hAnsi="Times New Roman" w:cs="Times New Roman"/>
        </w:rPr>
        <w:t>% manja u odnosu na proteklu</w:t>
      </w:r>
    </w:p>
    <w:p w:rsidR="00DD5633" w:rsidRDefault="00DD5633" w:rsidP="00DD5633">
      <w:pPr>
        <w:pStyle w:val="Standard"/>
        <w:jc w:val="both"/>
        <w:rPr>
          <w:rFonts w:hint="eastAsia"/>
        </w:rPr>
      </w:pPr>
      <w:r>
        <w:rPr>
          <w:rFonts w:ascii="Times New Roman" w:eastAsia="Times New Roman" w:hAnsi="Times New Roman" w:cs="Times New Roman"/>
        </w:rPr>
        <w:t xml:space="preserve">            </w:t>
      </w:r>
      <w:r>
        <w:rPr>
          <w:rFonts w:ascii="Times New Roman" w:hAnsi="Times New Roman" w:cs="Times New Roman"/>
        </w:rPr>
        <w:t>godinu,</w:t>
      </w:r>
      <w:r w:rsidR="00793CCE">
        <w:rPr>
          <w:rFonts w:ascii="Times New Roman" w:hAnsi="Times New Roman" w:cs="Times New Roman"/>
        </w:rPr>
        <w:t xml:space="preserve"> ulaganjem u geodetsko katastarske usluge te hitne intervencije u komunalnoj djelatnosti.</w:t>
      </w:r>
    </w:p>
    <w:p w:rsidR="006B0368" w:rsidRPr="006B0368" w:rsidRDefault="00DD5633" w:rsidP="00DD5633">
      <w:pPr>
        <w:pStyle w:val="Standard"/>
        <w:jc w:val="both"/>
      </w:pPr>
      <w:r>
        <w:rPr>
          <w:rFonts w:ascii="Times New Roman" w:eastAsia="Times New Roman" w:hAnsi="Times New Roman" w:cs="Times New Roman"/>
        </w:rPr>
        <w:t xml:space="preserve"> </w:t>
      </w:r>
      <w:r>
        <w:rPr>
          <w:rFonts w:ascii="Times New Roman" w:hAnsi="Times New Roman" w:cs="Times New Roman"/>
        </w:rPr>
        <w:t>-     AOP 082 Ulaganja u uličnu rasvjetu koja su 10,9% manja u odnosu na proteklu</w:t>
      </w:r>
      <w:r>
        <w:rPr>
          <w:rFonts w:ascii="Times New Roman" w:eastAsia="Times New Roman" w:hAnsi="Times New Roman" w:cs="Times New Roman"/>
        </w:rPr>
        <w:t xml:space="preserve">  </w:t>
      </w:r>
      <w:r>
        <w:rPr>
          <w:rFonts w:ascii="Times New Roman" w:hAnsi="Times New Roman" w:cs="Times New Roman"/>
        </w:rPr>
        <w:t>godinu</w:t>
      </w:r>
      <w:r w:rsidR="006B0368">
        <w:rPr>
          <w:rFonts w:ascii="Times New Roman" w:hAnsi="Times New Roman" w:cs="Times New Roman"/>
        </w:rPr>
        <w:t>.</w:t>
      </w:r>
    </w:p>
    <w:p w:rsidR="006B0368" w:rsidRDefault="00DD5633" w:rsidP="006B0368">
      <w:pPr>
        <w:pStyle w:val="Standard"/>
        <w:jc w:val="both"/>
        <w:rPr>
          <w:rFonts w:hint="eastAsia"/>
        </w:rPr>
      </w:pPr>
      <w:r>
        <w:rPr>
          <w:rFonts w:ascii="Times New Roman" w:hAnsi="Times New Roman" w:cs="Times New Roman"/>
        </w:rPr>
        <w:t>-     AOP 084 Rashodi vezani za stanovanje i kom. pogodnosti koji nisu drugdje</w:t>
      </w:r>
      <w:r w:rsidR="006B0368">
        <w:t xml:space="preserve"> </w:t>
      </w:r>
      <w:r>
        <w:rPr>
          <w:rFonts w:ascii="Times New Roman" w:hAnsi="Times New Roman" w:cs="Times New Roman"/>
        </w:rPr>
        <w:t>svrstani veći</w:t>
      </w:r>
      <w:r w:rsidR="006B0368">
        <w:rPr>
          <w:rFonts w:ascii="Times New Roman" w:hAnsi="Times New Roman" w:cs="Times New Roman"/>
        </w:rPr>
        <w:t xml:space="preserve"> su za 66% nego protekle godine, sredstva su uložena</w:t>
      </w:r>
      <w:r w:rsidR="006B0368" w:rsidRPr="006B0368">
        <w:rPr>
          <w:rFonts w:ascii="Times New Roman" w:hAnsi="Times New Roman" w:cs="Times New Roman"/>
        </w:rPr>
        <w:t xml:space="preserve"> </w:t>
      </w:r>
      <w:r w:rsidR="006B0368">
        <w:rPr>
          <w:rFonts w:ascii="Times New Roman" w:hAnsi="Times New Roman" w:cs="Times New Roman"/>
        </w:rPr>
        <w:t>u</w:t>
      </w:r>
      <w:r w:rsidR="006B0368">
        <w:rPr>
          <w:rFonts w:ascii="Times New Roman" w:hAnsi="Times New Roman" w:cs="Times New Roman"/>
        </w:rPr>
        <w:t xml:space="preserve"> nabavu imovine koja doprinosi razvoju zajednice za održavanje javnih površina</w:t>
      </w:r>
      <w:r w:rsidR="006B0368">
        <w:rPr>
          <w:rFonts w:ascii="Times New Roman" w:hAnsi="Times New Roman" w:cs="Times New Roman"/>
        </w:rPr>
        <w:t>, te za aktivnost naplate parkiranja u Gradu.</w:t>
      </w:r>
    </w:p>
    <w:p w:rsidR="00DD5633" w:rsidRDefault="00DD5633" w:rsidP="00DD5633">
      <w:pPr>
        <w:pStyle w:val="Standard"/>
        <w:jc w:val="both"/>
        <w:rPr>
          <w:rFonts w:hint="eastAsia"/>
        </w:rPr>
      </w:pPr>
    </w:p>
    <w:p w:rsidR="00DD5633" w:rsidRDefault="00DD5633" w:rsidP="00DD5633">
      <w:pPr>
        <w:pStyle w:val="Standard"/>
        <w:jc w:val="both"/>
        <w:rPr>
          <w:rFonts w:hint="eastAsia"/>
        </w:rPr>
      </w:pPr>
      <w:r>
        <w:rPr>
          <w:rFonts w:ascii="Times New Roman" w:hAnsi="Times New Roman" w:cs="Times New Roman"/>
          <w:u w:val="single"/>
        </w:rPr>
        <w:t>Bilješka broj 7.vezana za AOP oznaku 085 Zdravstvo</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Kod ulaganja za zdravstvo zabilježeno je smanjenje ulaganja 12,6%, a veće odstupanje zabilježeno je na AOP 102  poslovi i usluge zdravstva koji nisu drugdje svrstani gdje je zabilježeno smanjenje od 15% u</w:t>
      </w:r>
      <w:r w:rsidR="006B0368">
        <w:rPr>
          <w:rFonts w:ascii="Times New Roman" w:hAnsi="Times New Roman" w:cs="Times New Roman"/>
        </w:rPr>
        <w:t xml:space="preserve"> odnosu na prošle godinu i odnose se na manje ulaganje u higije</w:t>
      </w:r>
      <w:r w:rsidR="00D81BF3">
        <w:rPr>
          <w:rFonts w:ascii="Times New Roman" w:hAnsi="Times New Roman" w:cs="Times New Roman"/>
        </w:rPr>
        <w:t>ničarsko-komunalne usluge deratizacije, dok su specijalističke usluge evidentirane na</w:t>
      </w:r>
      <w:r>
        <w:rPr>
          <w:rFonts w:ascii="Times New Roman" w:hAnsi="Times New Roman" w:cs="Times New Roman"/>
        </w:rPr>
        <w:t xml:space="preserve"> AOP 090 </w:t>
      </w:r>
      <w:r w:rsidR="00D81BF3">
        <w:rPr>
          <w:rFonts w:ascii="Times New Roman" w:hAnsi="Times New Roman" w:cs="Times New Roman"/>
        </w:rPr>
        <w:t>ostale iste kao</w:t>
      </w:r>
      <w:r>
        <w:rPr>
          <w:rFonts w:ascii="Times New Roman" w:hAnsi="Times New Roman" w:cs="Times New Roman"/>
        </w:rPr>
        <w:t xml:space="preserve"> u 2016. godini </w:t>
      </w:r>
      <w:r w:rsidR="00D81BF3">
        <w:rPr>
          <w:rFonts w:ascii="Times New Roman" w:hAnsi="Times New Roman" w:cs="Times New Roman"/>
        </w:rPr>
        <w:t>i</w:t>
      </w:r>
      <w:r>
        <w:rPr>
          <w:rFonts w:ascii="Times New Roman" w:hAnsi="Times New Roman" w:cs="Times New Roman"/>
        </w:rPr>
        <w:t xml:space="preserve"> iznose 118.992 kune.</w:t>
      </w:r>
    </w:p>
    <w:p w:rsidR="0020673B" w:rsidRDefault="0020673B"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u w:val="single"/>
        </w:rPr>
        <w:t>Bilješka broj 8.vezana za AOP oznaku 103 Rekreacija kultura i religija</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Rekreacija, kultura i religija imaju značajnija odstupanja u odnosu na prošlu godinu sa 15,</w:t>
      </w:r>
      <w:r w:rsidR="00D81BF3">
        <w:rPr>
          <w:rFonts w:ascii="Times New Roman" w:hAnsi="Times New Roman" w:cs="Times New Roman"/>
        </w:rPr>
        <w:t>3</w:t>
      </w:r>
      <w:r>
        <w:rPr>
          <w:rFonts w:ascii="Times New Roman" w:hAnsi="Times New Roman" w:cs="Times New Roman"/>
        </w:rPr>
        <w:t>% većim ostvarenjem u odnosu na prošlu godinu, značajnije promjene zabilježene su na:</w:t>
      </w:r>
    </w:p>
    <w:p w:rsidR="00DD5633" w:rsidRDefault="00DD5633" w:rsidP="00DD5633">
      <w:pPr>
        <w:pStyle w:val="Standard"/>
        <w:jc w:val="both"/>
        <w:rPr>
          <w:rFonts w:hint="eastAsia"/>
        </w:rPr>
      </w:pPr>
      <w:r>
        <w:rPr>
          <w:rFonts w:ascii="Times New Roman" w:hAnsi="Times New Roman" w:cs="Times New Roman"/>
        </w:rPr>
        <w:t>- AOP 104 Službe rekreacije i sporta, gdje je ostvarenje 34,6% više u odnosu na prošlu godinu,</w:t>
      </w:r>
      <w:r w:rsidR="00D81BF3">
        <w:rPr>
          <w:rFonts w:ascii="Times New Roman" w:hAnsi="Times New Roman" w:cs="Times New Roman"/>
        </w:rPr>
        <w:t xml:space="preserve"> zbog većeg ulaganja u amaterski sport i </w:t>
      </w:r>
      <w:r w:rsidR="002950E7">
        <w:rPr>
          <w:rFonts w:ascii="Times New Roman" w:hAnsi="Times New Roman" w:cs="Times New Roman"/>
        </w:rPr>
        <w:t>kapitalna ulaganja u sportsko objekte.</w:t>
      </w:r>
    </w:p>
    <w:p w:rsidR="00DD5633" w:rsidRDefault="00DD5633" w:rsidP="00DD5633">
      <w:pPr>
        <w:pStyle w:val="Standard"/>
        <w:jc w:val="both"/>
        <w:rPr>
          <w:rFonts w:hint="eastAsia"/>
        </w:rPr>
      </w:pPr>
      <w:r>
        <w:rPr>
          <w:rFonts w:ascii="Times New Roman" w:hAnsi="Times New Roman" w:cs="Times New Roman"/>
        </w:rPr>
        <w:t>- AOP 105 Službe kulture ostvarene su 7,3% više nego prošle godine, a sadrže rashode Grada te Gradske knjižnice i čitaonice, Zavičajnog muzeja te Pučkog otvorenog učilišta Slatina,</w:t>
      </w:r>
      <w:r w:rsidR="002950E7">
        <w:rPr>
          <w:rFonts w:ascii="Times New Roman" w:hAnsi="Times New Roman" w:cs="Times New Roman"/>
        </w:rPr>
        <w:t xml:space="preserve"> te ostale aktivnosti iz Programa javnih potreba u kulturi</w:t>
      </w:r>
    </w:p>
    <w:p w:rsidR="00DD5633" w:rsidRDefault="00DD5633" w:rsidP="00DD5633">
      <w:pPr>
        <w:pStyle w:val="Standard"/>
        <w:jc w:val="both"/>
        <w:rPr>
          <w:rFonts w:hint="eastAsia"/>
        </w:rPr>
      </w:pPr>
      <w:r>
        <w:rPr>
          <w:rFonts w:ascii="Times New Roman" w:hAnsi="Times New Roman" w:cs="Times New Roman"/>
        </w:rPr>
        <w:t xml:space="preserve">- AOP 107 Službe religijske i druge zajednice,  ostvarene su </w:t>
      </w:r>
      <w:r w:rsidR="002950E7">
        <w:rPr>
          <w:rFonts w:ascii="Times New Roman" w:hAnsi="Times New Roman" w:cs="Times New Roman"/>
        </w:rPr>
        <w:t xml:space="preserve">79,0 </w:t>
      </w:r>
      <w:r>
        <w:rPr>
          <w:rFonts w:ascii="Times New Roman" w:hAnsi="Times New Roman" w:cs="Times New Roman"/>
        </w:rPr>
        <w:t xml:space="preserve">% više, a čine ih </w:t>
      </w:r>
      <w:r w:rsidR="002950E7">
        <w:rPr>
          <w:rFonts w:ascii="Times New Roman" w:hAnsi="Times New Roman" w:cs="Times New Roman"/>
        </w:rPr>
        <w:t>ulaganja Gr</w:t>
      </w:r>
      <w:r>
        <w:rPr>
          <w:rFonts w:ascii="Times New Roman" w:hAnsi="Times New Roman" w:cs="Times New Roman"/>
        </w:rPr>
        <w:t>ada i Vijeća srpske nacionalne manjine Grada Slatine,</w:t>
      </w:r>
      <w:r w:rsidR="002950E7">
        <w:rPr>
          <w:rFonts w:ascii="Times New Roman" w:hAnsi="Times New Roman" w:cs="Times New Roman"/>
        </w:rPr>
        <w:t xml:space="preserve"> u objekte i aktivnosti </w:t>
      </w:r>
      <w:r w:rsidR="003749FB">
        <w:rPr>
          <w:rFonts w:ascii="Times New Roman" w:hAnsi="Times New Roman" w:cs="Times New Roman"/>
        </w:rPr>
        <w:t>koje doprinose ovoj funkciji.</w:t>
      </w:r>
    </w:p>
    <w:p w:rsidR="00DD5633" w:rsidRDefault="00DD5633" w:rsidP="00DD5633">
      <w:pPr>
        <w:pStyle w:val="Standard"/>
        <w:jc w:val="both"/>
        <w:rPr>
          <w:rFonts w:hint="eastAsia"/>
        </w:rPr>
      </w:pPr>
      <w:r>
        <w:rPr>
          <w:rFonts w:ascii="Times New Roman" w:hAnsi="Times New Roman" w:cs="Times New Roman"/>
        </w:rPr>
        <w:t>- AOP 109 Rashodi za rekreaciju, kulturu i religiju koji nisu drugdje svrsta</w:t>
      </w:r>
      <w:r w:rsidR="003034EF">
        <w:rPr>
          <w:rFonts w:ascii="Times New Roman" w:hAnsi="Times New Roman" w:cs="Times New Roman"/>
        </w:rPr>
        <w:t>ni, ostvareni su u visini 113.976 kuna ili 2.472,8 % više u odnosu na prošlu godinu, sredstva su uložena za uređenje groblja, te za poticanje rada udruga iz područja religije i tehničke kulture.</w:t>
      </w:r>
    </w:p>
    <w:p w:rsidR="00DD5633" w:rsidRDefault="00DD5633" w:rsidP="00DD5633">
      <w:pPr>
        <w:pStyle w:val="Standard"/>
        <w:ind w:left="720"/>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u w:val="single"/>
        </w:rPr>
        <w:t>Bilješka broj 9.vezana za AOP oznaku 110 Obrazovanje</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Obrazovanje je ostvareno više 7,4%, značajnije promjene zabilježene su na:</w:t>
      </w:r>
    </w:p>
    <w:p w:rsidR="00DD5633" w:rsidRDefault="00DD5633" w:rsidP="00DD5633">
      <w:pPr>
        <w:pStyle w:val="Standard"/>
        <w:jc w:val="both"/>
        <w:rPr>
          <w:rFonts w:hint="eastAsia"/>
        </w:rPr>
      </w:pPr>
      <w:r>
        <w:rPr>
          <w:rFonts w:ascii="Times New Roman" w:hAnsi="Times New Roman" w:cs="Times New Roman"/>
        </w:rPr>
        <w:t xml:space="preserve">-    AOP 111 Predškolsko i osnovno obrazovanje, ostvareno je 6,7% više u odnosu na prošlu godinu, a </w:t>
      </w:r>
      <w:r w:rsidR="003034EF">
        <w:rPr>
          <w:rFonts w:ascii="Times New Roman" w:hAnsi="Times New Roman" w:cs="Times New Roman"/>
        </w:rPr>
        <w:t>sadrže ulaganje Grada  u redovan rad</w:t>
      </w:r>
      <w:r>
        <w:rPr>
          <w:rFonts w:ascii="Times New Roman" w:hAnsi="Times New Roman" w:cs="Times New Roman"/>
        </w:rPr>
        <w:t xml:space="preserve"> Dječjeg vrtića „Zeko” Slatina,</w:t>
      </w:r>
      <w:r w:rsidR="00057FE4">
        <w:rPr>
          <w:rFonts w:ascii="Times New Roman" w:hAnsi="Times New Roman" w:cs="Times New Roman"/>
        </w:rPr>
        <w:t xml:space="preserve"> kojemu je grad osnivač i aktivnosti privatnog dječjeg vrtića „Suncokret“ u Slatini.</w:t>
      </w:r>
    </w:p>
    <w:p w:rsidR="00DD5633" w:rsidRDefault="00DD5633" w:rsidP="00DD5633">
      <w:pPr>
        <w:pStyle w:val="Standard"/>
        <w:jc w:val="both"/>
        <w:rPr>
          <w:rFonts w:hint="eastAsia"/>
        </w:rPr>
      </w:pPr>
      <w:r>
        <w:rPr>
          <w:rFonts w:ascii="Times New Roman" w:hAnsi="Times New Roman" w:cs="Times New Roman"/>
        </w:rPr>
        <w:t xml:space="preserve">-    AOP 121 Obrazovanje koje se ne može svrstati po stupnju ostvareno je 13,7% više nego prethodne godine, a čine ga </w:t>
      </w:r>
      <w:r w:rsidR="00057FE4">
        <w:rPr>
          <w:rFonts w:ascii="Times New Roman" w:hAnsi="Times New Roman" w:cs="Times New Roman"/>
        </w:rPr>
        <w:t xml:space="preserve">ulaganje Grada  u aktivnosti </w:t>
      </w:r>
      <w:r>
        <w:rPr>
          <w:rFonts w:ascii="Times New Roman" w:hAnsi="Times New Roman" w:cs="Times New Roman"/>
        </w:rPr>
        <w:t>Pučkog otvorenog učilišta Slatina,</w:t>
      </w:r>
      <w:r w:rsidR="00057FE4">
        <w:rPr>
          <w:rFonts w:ascii="Times New Roman" w:hAnsi="Times New Roman" w:cs="Times New Roman"/>
        </w:rPr>
        <w:t xml:space="preserve">, </w:t>
      </w:r>
      <w:r w:rsidR="00057FE4">
        <w:rPr>
          <w:rFonts w:ascii="Times New Roman" w:hAnsi="Times New Roman" w:cs="Times New Roman"/>
        </w:rPr>
        <w:lastRenderedPageBreak/>
        <w:t>sufinanciranje školskih udžbenika i javnog prijevoza učenika te ulaganja u poticanje kazališnog amaterizma.</w:t>
      </w:r>
    </w:p>
    <w:p w:rsidR="00DD5633" w:rsidRDefault="00DD5633" w:rsidP="00DD5633">
      <w:pPr>
        <w:pStyle w:val="Standard"/>
        <w:jc w:val="both"/>
        <w:rPr>
          <w:rFonts w:hint="eastAsia"/>
        </w:rPr>
      </w:pPr>
      <w:r>
        <w:rPr>
          <w:rFonts w:ascii="Times New Roman" w:hAnsi="Times New Roman" w:cs="Times New Roman"/>
        </w:rPr>
        <w:t>-     AOP 124 Usluge obrazovanja koje ni</w:t>
      </w:r>
      <w:r w:rsidR="004C744B">
        <w:rPr>
          <w:rFonts w:ascii="Times New Roman" w:hAnsi="Times New Roman" w:cs="Times New Roman"/>
        </w:rPr>
        <w:t xml:space="preserve">su drugdje svrstane 44,4% manje, odnose se na ulaganje grada u uređenje </w:t>
      </w:r>
      <w:r w:rsidR="00BF6AC0">
        <w:rPr>
          <w:rFonts w:ascii="Times New Roman" w:hAnsi="Times New Roman" w:cs="Times New Roman"/>
        </w:rPr>
        <w:t xml:space="preserve">„Male </w:t>
      </w:r>
      <w:proofErr w:type="spellStart"/>
      <w:r w:rsidR="00BF6AC0">
        <w:rPr>
          <w:rFonts w:ascii="Times New Roman" w:hAnsi="Times New Roman" w:cs="Times New Roman"/>
        </w:rPr>
        <w:t>art</w:t>
      </w:r>
      <w:proofErr w:type="spellEnd"/>
      <w:r w:rsidR="00BF6AC0">
        <w:rPr>
          <w:rFonts w:ascii="Times New Roman" w:hAnsi="Times New Roman" w:cs="Times New Roman"/>
        </w:rPr>
        <w:t xml:space="preserve"> </w:t>
      </w:r>
      <w:r w:rsidR="004C744B">
        <w:rPr>
          <w:rFonts w:ascii="Times New Roman" w:hAnsi="Times New Roman" w:cs="Times New Roman"/>
        </w:rPr>
        <w:t>dvorane</w:t>
      </w:r>
      <w:r w:rsidR="00BF6AC0">
        <w:rPr>
          <w:rFonts w:ascii="Times New Roman" w:hAnsi="Times New Roman" w:cs="Times New Roman"/>
        </w:rPr>
        <w:t>“</w:t>
      </w:r>
      <w:r w:rsidR="004C744B">
        <w:rPr>
          <w:rFonts w:ascii="Times New Roman" w:hAnsi="Times New Roman" w:cs="Times New Roman"/>
        </w:rPr>
        <w:t xml:space="preserve"> za po</w:t>
      </w:r>
      <w:r w:rsidR="00BF6AC0">
        <w:rPr>
          <w:rFonts w:ascii="Times New Roman" w:hAnsi="Times New Roman" w:cs="Times New Roman"/>
        </w:rPr>
        <w:t>trebe osiguranja prostora za razne obrazovne svrhe , te ulaganje Grada u projekt pod nazivom „Grad prijatelj djece“.</w:t>
      </w:r>
    </w:p>
    <w:p w:rsidR="00DD5633" w:rsidRDefault="00DD5633" w:rsidP="00DD5633">
      <w:pPr>
        <w:pStyle w:val="Standard"/>
        <w:jc w:val="both"/>
        <w:rPr>
          <w:rFonts w:ascii="Times New Roman" w:hAnsi="Times New Roman" w:cs="Times New Roman"/>
        </w:rPr>
      </w:pPr>
    </w:p>
    <w:p w:rsidR="00DD5633" w:rsidRDefault="00DD5633" w:rsidP="00DD5633">
      <w:pPr>
        <w:pStyle w:val="Standard"/>
        <w:jc w:val="both"/>
        <w:rPr>
          <w:rFonts w:hint="eastAsia"/>
        </w:rPr>
      </w:pPr>
      <w:r>
        <w:rPr>
          <w:rFonts w:ascii="Times New Roman" w:hAnsi="Times New Roman" w:cs="Times New Roman"/>
          <w:u w:val="single"/>
        </w:rPr>
        <w:t>Bilješka broj 10. vezana za AOP oznaku 125 Socijalna zaštita</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Socijalna zaštita ostvarena je 13,9% više nego prethodne godine, značajnije promjene ostvarene su na:</w:t>
      </w:r>
    </w:p>
    <w:p w:rsidR="00DD5633" w:rsidRDefault="00DD5633" w:rsidP="00DD5633">
      <w:pPr>
        <w:pStyle w:val="Standard"/>
        <w:jc w:val="both"/>
        <w:rPr>
          <w:rFonts w:hint="eastAsia"/>
        </w:rPr>
      </w:pPr>
      <w:r>
        <w:rPr>
          <w:rFonts w:ascii="Times New Roman" w:hAnsi="Times New Roman" w:cs="Times New Roman"/>
        </w:rPr>
        <w:t xml:space="preserve">-     AOP 131 Obitelj i djeca gdje je izvršeno ulaganje </w:t>
      </w:r>
      <w:r w:rsidR="00C939CD">
        <w:rPr>
          <w:rFonts w:ascii="Times New Roman" w:hAnsi="Times New Roman" w:cs="Times New Roman"/>
        </w:rPr>
        <w:t>u visini</w:t>
      </w:r>
      <w:r>
        <w:rPr>
          <w:rFonts w:ascii="Times New Roman" w:hAnsi="Times New Roman" w:cs="Times New Roman"/>
        </w:rPr>
        <w:t xml:space="preserve"> 118.700 kuna,</w:t>
      </w:r>
      <w:r w:rsidR="00BF6AC0">
        <w:rPr>
          <w:rFonts w:ascii="Times New Roman" w:hAnsi="Times New Roman" w:cs="Times New Roman"/>
        </w:rPr>
        <w:t xml:space="preserve"> za poticanje demografske obnove</w:t>
      </w:r>
      <w:r w:rsidR="00C939CD">
        <w:rPr>
          <w:rFonts w:ascii="Times New Roman" w:hAnsi="Times New Roman" w:cs="Times New Roman"/>
        </w:rPr>
        <w:t>,</w:t>
      </w:r>
      <w:r>
        <w:rPr>
          <w:rFonts w:ascii="Times New Roman" w:hAnsi="Times New Roman" w:cs="Times New Roman"/>
        </w:rPr>
        <w:t xml:space="preserve"> a taj podatak nema usporedni u 2016. godini.</w:t>
      </w:r>
    </w:p>
    <w:p w:rsidR="00DD5633" w:rsidRDefault="00DD5633" w:rsidP="00DD5633">
      <w:pPr>
        <w:pStyle w:val="Standard"/>
        <w:jc w:val="both"/>
        <w:rPr>
          <w:rFonts w:hint="eastAsia"/>
        </w:rPr>
      </w:pPr>
      <w:r>
        <w:rPr>
          <w:rFonts w:ascii="Times New Roman" w:hAnsi="Times New Roman" w:cs="Times New Roman"/>
        </w:rPr>
        <w:t>-     AOP 133 Stanovanje</w:t>
      </w:r>
      <w:r w:rsidR="00C939CD">
        <w:rPr>
          <w:rFonts w:ascii="Times New Roman" w:hAnsi="Times New Roman" w:cs="Times New Roman"/>
        </w:rPr>
        <w:t>,</w:t>
      </w:r>
      <w:r>
        <w:rPr>
          <w:rFonts w:ascii="Times New Roman" w:hAnsi="Times New Roman" w:cs="Times New Roman"/>
        </w:rPr>
        <w:t xml:space="preserve"> </w:t>
      </w:r>
      <w:r w:rsidR="00C939CD">
        <w:rPr>
          <w:rFonts w:ascii="Times New Roman" w:hAnsi="Times New Roman" w:cs="Times New Roman"/>
        </w:rPr>
        <w:t>evidentirano je</w:t>
      </w:r>
      <w:r>
        <w:rPr>
          <w:rFonts w:ascii="Times New Roman" w:hAnsi="Times New Roman" w:cs="Times New Roman"/>
        </w:rPr>
        <w:t xml:space="preserve"> smanjenje ostvarenja 4,7% u odnosu n</w:t>
      </w:r>
      <w:r w:rsidR="009B09C4">
        <w:rPr>
          <w:rFonts w:ascii="Times New Roman" w:hAnsi="Times New Roman" w:cs="Times New Roman"/>
        </w:rPr>
        <w:t>a prošlu godinu a odnosi se na podmirenje troškova stanovanja</w:t>
      </w:r>
      <w:r w:rsidR="00C939CD">
        <w:rPr>
          <w:rFonts w:ascii="Times New Roman" w:hAnsi="Times New Roman" w:cs="Times New Roman"/>
        </w:rPr>
        <w:t xml:space="preserve"> kroz plaćanje troškova ogrjeva </w:t>
      </w:r>
      <w:r w:rsidR="009B09C4">
        <w:rPr>
          <w:rFonts w:ascii="Times New Roman" w:hAnsi="Times New Roman" w:cs="Times New Roman"/>
        </w:rPr>
        <w:t xml:space="preserve"> i </w:t>
      </w:r>
      <w:r w:rsidR="00C939CD">
        <w:rPr>
          <w:rFonts w:ascii="Times New Roman" w:hAnsi="Times New Roman" w:cs="Times New Roman"/>
        </w:rPr>
        <w:t xml:space="preserve">pomoći za podmirenje troškova struje, vode, plina i slično </w:t>
      </w:r>
      <w:r w:rsidR="009B09C4">
        <w:rPr>
          <w:rFonts w:ascii="Times New Roman" w:hAnsi="Times New Roman" w:cs="Times New Roman"/>
        </w:rPr>
        <w:t>obiteljima lošijeg imovinskog stanja.</w:t>
      </w:r>
    </w:p>
    <w:p w:rsidR="00DD5633" w:rsidRDefault="00DD5633" w:rsidP="00DD5633">
      <w:pPr>
        <w:pStyle w:val="Standard"/>
        <w:jc w:val="both"/>
        <w:rPr>
          <w:rFonts w:hint="eastAsia"/>
        </w:rPr>
      </w:pPr>
      <w:r>
        <w:rPr>
          <w:rFonts w:ascii="Times New Roman" w:hAnsi="Times New Roman" w:cs="Times New Roman"/>
        </w:rPr>
        <w:t>-    AOP 136 Aktivnosti socijalne zaštite koje nisu drugdje svrstane</w:t>
      </w:r>
      <w:r w:rsidR="00C939CD">
        <w:rPr>
          <w:rFonts w:ascii="Times New Roman" w:hAnsi="Times New Roman" w:cs="Times New Roman"/>
        </w:rPr>
        <w:t>,</w:t>
      </w:r>
      <w:r>
        <w:rPr>
          <w:rFonts w:ascii="Times New Roman" w:hAnsi="Times New Roman" w:cs="Times New Roman"/>
        </w:rPr>
        <w:t xml:space="preserve"> sa povećanjem od</w:t>
      </w:r>
      <w:r w:rsidR="009B09C4">
        <w:rPr>
          <w:rFonts w:ascii="Times New Roman" w:hAnsi="Times New Roman" w:cs="Times New Roman"/>
        </w:rPr>
        <w:t xml:space="preserve"> 0,8% u odnosu na prošlu godinu, odnose se na ulaganje Grada kroz aktivnosti pod nazivom „Humanitarna skrb kroz institucije i udruge građana“</w:t>
      </w:r>
      <w:r w:rsidR="00C939CD">
        <w:rPr>
          <w:rFonts w:ascii="Times New Roman" w:hAnsi="Times New Roman" w:cs="Times New Roman"/>
        </w:rPr>
        <w:t xml:space="preserve"> , rješavanje nužnog smještaja socijalno ugroženih obitelji, te pružanjem jednokratne novčane pomoći u posebnim slučajevima u novcu.</w:t>
      </w:r>
    </w:p>
    <w:p w:rsidR="00DD5633" w:rsidRDefault="00DD5633" w:rsidP="00DD5633">
      <w:pPr>
        <w:pStyle w:val="Standard"/>
        <w:jc w:val="both"/>
        <w:rPr>
          <w:rFonts w:ascii="Times New Roman" w:hAnsi="Times New Roman" w:cs="Times New Roman"/>
        </w:rPr>
      </w:pPr>
    </w:p>
    <w:p w:rsidR="00DD5633" w:rsidRDefault="00DD5633" w:rsidP="00DD5633">
      <w:pPr>
        <w:jc w:val="both"/>
      </w:pPr>
    </w:p>
    <w:p w:rsidR="00DD5633" w:rsidRDefault="00DD5633" w:rsidP="00DD5633">
      <w:pPr>
        <w:pStyle w:val="Naslov1"/>
        <w:jc w:val="both"/>
      </w:pPr>
      <w:r>
        <w:rPr>
          <w:u w:val="none"/>
        </w:rPr>
        <w:t>Bilješke uz Izvještaj o promjenama u vrijednosti i obujmu imovine i obveza – uz obrazac: P-VRIO</w:t>
      </w:r>
    </w:p>
    <w:p w:rsidR="00DD5633" w:rsidRDefault="00DD5633" w:rsidP="00DD5633">
      <w:pPr>
        <w:jc w:val="both"/>
        <w:rPr>
          <w:u w:val="single"/>
        </w:rPr>
      </w:pPr>
    </w:p>
    <w:p w:rsidR="00DD5633" w:rsidRDefault="00DD5633" w:rsidP="00DD5633">
      <w:pPr>
        <w:pStyle w:val="Standard"/>
        <w:jc w:val="both"/>
        <w:rPr>
          <w:rFonts w:hint="eastAsia"/>
        </w:rPr>
      </w:pPr>
      <w:r>
        <w:rPr>
          <w:rFonts w:ascii="Times New Roman" w:hAnsi="Times New Roman" w:cs="Times New Roman"/>
          <w:u w:val="single"/>
        </w:rPr>
        <w:t>Bilješka broj 1. vezana za AOP oznaku 001 Promjene u vrijednosti i obujmu imovine na strani povećanja</w:t>
      </w:r>
    </w:p>
    <w:p w:rsidR="00DD5633" w:rsidRDefault="00DD5633" w:rsidP="00DD5633">
      <w:pPr>
        <w:pStyle w:val="Standard"/>
        <w:jc w:val="both"/>
        <w:rPr>
          <w:rFonts w:ascii="Times New Roman" w:hAnsi="Times New Roman" w:cs="Times New Roman"/>
          <w:u w:val="single"/>
        </w:rPr>
      </w:pPr>
    </w:p>
    <w:p w:rsidR="00DD5633" w:rsidRDefault="00DD5633" w:rsidP="00DD5633">
      <w:pPr>
        <w:pStyle w:val="Standard"/>
        <w:jc w:val="both"/>
        <w:rPr>
          <w:rFonts w:hint="eastAsia"/>
        </w:rPr>
      </w:pPr>
      <w:r>
        <w:rPr>
          <w:rFonts w:ascii="Times New Roman" w:hAnsi="Times New Roman" w:cs="Times New Roman"/>
        </w:rPr>
        <w:t>Promjene u vrijednosti i obujmu imovine  na strani povećanja evidentirane su u iznosu od 163.508 kuna, a na promjene su utjecale evidencije pod:</w:t>
      </w:r>
    </w:p>
    <w:p w:rsidR="00DD5633" w:rsidRDefault="00DD5633" w:rsidP="00DD5633">
      <w:pPr>
        <w:pStyle w:val="Standard"/>
        <w:jc w:val="both"/>
        <w:rPr>
          <w:rFonts w:hint="eastAsia"/>
        </w:rPr>
      </w:pPr>
      <w:r>
        <w:rPr>
          <w:rFonts w:ascii="Times New Roman" w:hAnsi="Times New Roman" w:cs="Times New Roman"/>
        </w:rPr>
        <w:t xml:space="preserve">-     AOP 020 </w:t>
      </w:r>
      <w:proofErr w:type="spellStart"/>
      <w:r>
        <w:rPr>
          <w:rFonts w:ascii="Times New Roman" w:hAnsi="Times New Roman" w:cs="Times New Roman"/>
        </w:rPr>
        <w:t>Neproizvedena</w:t>
      </w:r>
      <w:proofErr w:type="spellEnd"/>
      <w:r>
        <w:rPr>
          <w:rFonts w:ascii="Times New Roman" w:hAnsi="Times New Roman" w:cs="Times New Roman"/>
        </w:rPr>
        <w:t xml:space="preserve"> dugotrajna imovina, uvećana je za 8.517,30 kuna, a</w:t>
      </w:r>
      <w:r>
        <w:rPr>
          <w:rFonts w:ascii="Times New Roman" w:eastAsia="Times New Roman" w:hAnsi="Times New Roman" w:cs="Times New Roman"/>
        </w:rPr>
        <w:t xml:space="preserve"> </w:t>
      </w:r>
      <w:r>
        <w:rPr>
          <w:rFonts w:ascii="Times New Roman" w:hAnsi="Times New Roman" w:cs="Times New Roman"/>
        </w:rPr>
        <w:t>odnosi se na povećanje obujma za novo zemljište u k.o. Bakić k.č.br. 683,</w:t>
      </w:r>
    </w:p>
    <w:p w:rsidR="00DD5633" w:rsidRDefault="00DD5633" w:rsidP="00DD5633">
      <w:pPr>
        <w:pStyle w:val="Standard"/>
        <w:jc w:val="both"/>
        <w:rPr>
          <w:rFonts w:hint="eastAsia"/>
        </w:rPr>
      </w:pPr>
      <w:r>
        <w:rPr>
          <w:rFonts w:ascii="Times New Roman" w:hAnsi="Times New Roman" w:cs="Times New Roman"/>
        </w:rPr>
        <w:t>-     AOP 021 Proizvedena dugotrajna imovina, uvećana za 69.655 kuna za darovane</w:t>
      </w:r>
      <w:r>
        <w:rPr>
          <w:rFonts w:ascii="Times New Roman" w:eastAsia="Times New Roman" w:hAnsi="Times New Roman" w:cs="Times New Roman"/>
        </w:rPr>
        <w:t xml:space="preserve"> </w:t>
      </w:r>
      <w:r>
        <w:rPr>
          <w:rFonts w:ascii="Times New Roman" w:hAnsi="Times New Roman" w:cs="Times New Roman"/>
        </w:rPr>
        <w:t>knjige Gradske knjižnice i čitaonice te uredske stolice kod Gradske razvojne</w:t>
      </w:r>
      <w:r>
        <w:rPr>
          <w:rFonts w:ascii="Times New Roman" w:eastAsia="Times New Roman" w:hAnsi="Times New Roman" w:cs="Times New Roman"/>
        </w:rPr>
        <w:t xml:space="preserve"> </w:t>
      </w:r>
      <w:r>
        <w:rPr>
          <w:rFonts w:ascii="Times New Roman" w:hAnsi="Times New Roman" w:cs="Times New Roman"/>
        </w:rPr>
        <w:t>agencije,</w:t>
      </w:r>
    </w:p>
    <w:p w:rsidR="00DD5633" w:rsidRDefault="00DD5633" w:rsidP="00DD5633">
      <w:pPr>
        <w:pStyle w:val="Standard"/>
        <w:jc w:val="both"/>
        <w:rPr>
          <w:rFonts w:hint="eastAsia"/>
        </w:rPr>
      </w:pPr>
      <w:r>
        <w:rPr>
          <w:rFonts w:ascii="Times New Roman" w:hAnsi="Times New Roman" w:cs="Times New Roman"/>
        </w:rPr>
        <w:t>-     AOP 023 Sitan inventar uvećan je za 640 kuna, a odnosi se na darovan kuhinjski</w:t>
      </w:r>
      <w:r w:rsidR="005127D3">
        <w:rPr>
          <w:rFonts w:ascii="Times New Roman" w:hAnsi="Times New Roman" w:cs="Times New Roman"/>
        </w:rPr>
        <w:t xml:space="preserve"> </w:t>
      </w:r>
      <w:r>
        <w:rPr>
          <w:rFonts w:ascii="Times New Roman" w:hAnsi="Times New Roman" w:cs="Times New Roman"/>
        </w:rPr>
        <w:t>uređaj Dječjem vrtiću „Zeko” Slatina,</w:t>
      </w:r>
    </w:p>
    <w:p w:rsidR="00DD5633" w:rsidRDefault="00DD5633" w:rsidP="00DD5633">
      <w:pPr>
        <w:pStyle w:val="Standard"/>
        <w:jc w:val="both"/>
        <w:rPr>
          <w:rFonts w:hint="eastAsia"/>
        </w:rPr>
      </w:pPr>
      <w:r>
        <w:rPr>
          <w:rFonts w:ascii="Times New Roman" w:hAnsi="Times New Roman" w:cs="Times New Roman"/>
        </w:rPr>
        <w:t>-     AOP 031 Dionice i udjeli u glavnici, uvećani su za 84.696,33 kune, a odnose se</w:t>
      </w:r>
      <w:r>
        <w:rPr>
          <w:rFonts w:ascii="Times New Roman" w:eastAsia="Times New Roman" w:hAnsi="Times New Roman" w:cs="Times New Roman"/>
        </w:rPr>
        <w:t xml:space="preserve">  </w:t>
      </w:r>
      <w:r>
        <w:rPr>
          <w:rFonts w:ascii="Times New Roman" w:hAnsi="Times New Roman" w:cs="Times New Roman"/>
        </w:rPr>
        <w:t xml:space="preserve">na povećanje obujma osnivačkog udjela </w:t>
      </w:r>
      <w:r w:rsidR="005127D3">
        <w:rPr>
          <w:rFonts w:ascii="Times New Roman" w:hAnsi="Times New Roman" w:cs="Times New Roman"/>
        </w:rPr>
        <w:t xml:space="preserve">Grada </w:t>
      </w:r>
      <w:r>
        <w:rPr>
          <w:rFonts w:ascii="Times New Roman" w:hAnsi="Times New Roman" w:cs="Times New Roman"/>
        </w:rPr>
        <w:t xml:space="preserve">u tvrtci </w:t>
      </w:r>
      <w:proofErr w:type="spellStart"/>
      <w:r>
        <w:rPr>
          <w:rFonts w:ascii="Times New Roman" w:hAnsi="Times New Roman" w:cs="Times New Roman"/>
        </w:rPr>
        <w:t>Komrad</w:t>
      </w:r>
      <w:proofErr w:type="spellEnd"/>
      <w:r>
        <w:rPr>
          <w:rFonts w:ascii="Times New Roman" w:hAnsi="Times New Roman" w:cs="Times New Roman"/>
        </w:rPr>
        <w:t xml:space="preserve"> d.o.o. za uplaćeni, a</w:t>
      </w:r>
      <w:r>
        <w:t xml:space="preserve"> </w:t>
      </w:r>
      <w:r w:rsidR="005127D3">
        <w:rPr>
          <w:rFonts w:ascii="Times New Roman" w:hAnsi="Times New Roman" w:cs="Times New Roman"/>
        </w:rPr>
        <w:t xml:space="preserve">neupisani kapital. </w:t>
      </w:r>
    </w:p>
    <w:p w:rsidR="005127D3" w:rsidRDefault="005127D3" w:rsidP="00DD5633">
      <w:pPr>
        <w:pStyle w:val="Standard"/>
        <w:jc w:val="both"/>
        <w:rPr>
          <w:rFonts w:ascii="Times New Roman" w:hAnsi="Times New Roman" w:cs="Times New Roman"/>
          <w:u w:val="single"/>
        </w:rPr>
      </w:pPr>
    </w:p>
    <w:p w:rsidR="00DD5633" w:rsidRDefault="00DD5633" w:rsidP="00DD5633">
      <w:pPr>
        <w:pStyle w:val="Standard"/>
        <w:jc w:val="both"/>
        <w:rPr>
          <w:rFonts w:ascii="Times New Roman" w:hAnsi="Times New Roman" w:cs="Times New Roman"/>
          <w:u w:val="single"/>
        </w:rPr>
      </w:pPr>
      <w:r>
        <w:rPr>
          <w:rFonts w:ascii="Times New Roman" w:hAnsi="Times New Roman" w:cs="Times New Roman"/>
          <w:u w:val="single"/>
        </w:rPr>
        <w:t>Bilješka broj 2. vezana za AOP oznaku 001 Promjene u vrijednosti i obujmu imovine na strani smanjenja</w:t>
      </w:r>
    </w:p>
    <w:p w:rsidR="00DD5633" w:rsidRDefault="00DD5633" w:rsidP="00DD5633">
      <w:pPr>
        <w:pStyle w:val="Standard"/>
        <w:jc w:val="both"/>
        <w:rPr>
          <w:rFonts w:hint="eastAsia"/>
        </w:rPr>
      </w:pPr>
    </w:p>
    <w:p w:rsidR="00DD5633" w:rsidRDefault="00DD5633" w:rsidP="00DD5633">
      <w:pPr>
        <w:pStyle w:val="Standard"/>
        <w:jc w:val="both"/>
        <w:rPr>
          <w:rFonts w:hint="eastAsia"/>
        </w:rPr>
      </w:pPr>
      <w:r>
        <w:rPr>
          <w:rFonts w:ascii="Times New Roman" w:hAnsi="Times New Roman" w:cs="Times New Roman"/>
        </w:rPr>
        <w:t>Promjene u vrijednosti i obujmu imovine  na strani smanjenja evidentirane su u iznosu od 8.001.731 kunu, a na promjene su utjecale evidencije pod:</w:t>
      </w:r>
    </w:p>
    <w:p w:rsidR="00DD5633" w:rsidRDefault="00DD5633" w:rsidP="00DD5633">
      <w:pPr>
        <w:pStyle w:val="Standard"/>
        <w:jc w:val="both"/>
        <w:rPr>
          <w:rFonts w:hint="eastAsia"/>
        </w:rPr>
      </w:pPr>
      <w:r>
        <w:rPr>
          <w:rFonts w:ascii="Times New Roman" w:hAnsi="Times New Roman" w:cs="Times New Roman"/>
        </w:rPr>
        <w:t>-    AOP 005 Proizvedena dugotrajna imovina, smanjenje vrijednosti odnosi se na</w:t>
      </w:r>
      <w:r>
        <w:t xml:space="preserve"> </w:t>
      </w:r>
      <w:r>
        <w:rPr>
          <w:rFonts w:ascii="Times New Roman" w:hAnsi="Times New Roman" w:cs="Times New Roman"/>
        </w:rPr>
        <w:t>smanjenje vrijednosti nedospjelog potraživanja za prodaju stanova i komunalni</w:t>
      </w:r>
      <w:r>
        <w:t xml:space="preserve"> </w:t>
      </w:r>
      <w:r>
        <w:rPr>
          <w:rFonts w:ascii="Times New Roman" w:hAnsi="Times New Roman" w:cs="Times New Roman"/>
        </w:rPr>
        <w:t>doprinos u iznosu od 92.505,33 kune,</w:t>
      </w:r>
      <w:r w:rsidR="00D2639E">
        <w:rPr>
          <w:rFonts w:ascii="Times New Roman" w:hAnsi="Times New Roman" w:cs="Times New Roman"/>
        </w:rPr>
        <w:t xml:space="preserve"> zbog usklađenja potraživanja sa valutnom klauzulom na dan 31.12.2017.</w:t>
      </w:r>
    </w:p>
    <w:p w:rsidR="00DD5633" w:rsidRDefault="00DD5633" w:rsidP="00DD5633">
      <w:pPr>
        <w:pStyle w:val="Standard"/>
        <w:jc w:val="both"/>
        <w:rPr>
          <w:rFonts w:hint="eastAsia"/>
        </w:rPr>
      </w:pPr>
      <w:r>
        <w:rPr>
          <w:rFonts w:ascii="Times New Roman" w:hAnsi="Times New Roman" w:cs="Times New Roman"/>
        </w:rPr>
        <w:lastRenderedPageBreak/>
        <w:t xml:space="preserve">-    AOP 012 Depoziti, jamčeni </w:t>
      </w:r>
      <w:proofErr w:type="spellStart"/>
      <w:r>
        <w:rPr>
          <w:rFonts w:ascii="Times New Roman" w:hAnsi="Times New Roman" w:cs="Times New Roman"/>
        </w:rPr>
        <w:t>polozi</w:t>
      </w:r>
      <w:proofErr w:type="spellEnd"/>
      <w:r>
        <w:rPr>
          <w:rFonts w:ascii="Times New Roman" w:hAnsi="Times New Roman" w:cs="Times New Roman"/>
        </w:rPr>
        <w:t xml:space="preserve"> i potraživanja od zaposlenih te za više plaćene</w:t>
      </w:r>
      <w:r>
        <w:t xml:space="preserve"> </w:t>
      </w:r>
      <w:r>
        <w:rPr>
          <w:rFonts w:ascii="Times New Roman" w:hAnsi="Times New Roman" w:cs="Times New Roman"/>
        </w:rPr>
        <w:t>poreze i ostalo, smanjenje vrijednosti odnosi se na smanjenje vrijednosti</w:t>
      </w:r>
      <w:r>
        <w:rPr>
          <w:rFonts w:ascii="Times New Roman" w:eastAsia="Times New Roman" w:hAnsi="Times New Roman" w:cs="Times New Roman"/>
        </w:rPr>
        <w:t xml:space="preserve"> </w:t>
      </w:r>
      <w:r>
        <w:rPr>
          <w:rFonts w:ascii="Times New Roman" w:hAnsi="Times New Roman" w:cs="Times New Roman"/>
        </w:rPr>
        <w:t>potraživanja kod usklađenja s tečajem za depozite kod banaka za program</w:t>
      </w:r>
      <w:r>
        <w:rPr>
          <w:rFonts w:ascii="Times New Roman" w:eastAsia="Times New Roman" w:hAnsi="Times New Roman" w:cs="Times New Roman"/>
        </w:rPr>
        <w:t xml:space="preserve"> </w:t>
      </w:r>
      <w:r>
        <w:rPr>
          <w:rFonts w:ascii="Times New Roman" w:hAnsi="Times New Roman" w:cs="Times New Roman"/>
        </w:rPr>
        <w:t>„Poduzetnik” u iznosu od 882,96 kuna, za smanjenje vrijednosti potraživanja za</w:t>
      </w:r>
      <w:r>
        <w:rPr>
          <w:rFonts w:ascii="Times New Roman" w:eastAsia="Times New Roman" w:hAnsi="Times New Roman" w:cs="Times New Roman"/>
        </w:rPr>
        <w:t xml:space="preserve">  </w:t>
      </w:r>
      <w:r>
        <w:rPr>
          <w:rFonts w:ascii="Times New Roman" w:hAnsi="Times New Roman" w:cs="Times New Roman"/>
        </w:rPr>
        <w:t xml:space="preserve">prijenos potraživanja na ispravak vrijednosti za aktiviran depozit od  poljoprivrednika  D. </w:t>
      </w:r>
      <w:proofErr w:type="spellStart"/>
      <w:r>
        <w:rPr>
          <w:rFonts w:ascii="Times New Roman" w:hAnsi="Times New Roman" w:cs="Times New Roman"/>
        </w:rPr>
        <w:t>Gerenčira</w:t>
      </w:r>
      <w:proofErr w:type="spellEnd"/>
      <w:r>
        <w:rPr>
          <w:rFonts w:ascii="Times New Roman" w:hAnsi="Times New Roman" w:cs="Times New Roman"/>
        </w:rPr>
        <w:t xml:space="preserve"> i   „Katarina” </w:t>
      </w:r>
      <w:proofErr w:type="spellStart"/>
      <w:r>
        <w:rPr>
          <w:rFonts w:ascii="Times New Roman" w:hAnsi="Times New Roman" w:cs="Times New Roman"/>
        </w:rPr>
        <w:t>vl</w:t>
      </w:r>
      <w:proofErr w:type="spellEnd"/>
      <w:r>
        <w:rPr>
          <w:rFonts w:ascii="Times New Roman" w:hAnsi="Times New Roman" w:cs="Times New Roman"/>
        </w:rPr>
        <w:t xml:space="preserve">. D. </w:t>
      </w:r>
      <w:proofErr w:type="spellStart"/>
      <w:r>
        <w:rPr>
          <w:rFonts w:ascii="Times New Roman" w:hAnsi="Times New Roman" w:cs="Times New Roman"/>
        </w:rPr>
        <w:t>Gerenčira</w:t>
      </w:r>
      <w:proofErr w:type="spellEnd"/>
      <w:r>
        <w:rPr>
          <w:rFonts w:ascii="Times New Roman" w:hAnsi="Times New Roman" w:cs="Times New Roman"/>
        </w:rPr>
        <w:t xml:space="preserve"> u iznosu od</w:t>
      </w:r>
      <w:r>
        <w:rPr>
          <w:rFonts w:ascii="Times New Roman" w:eastAsia="Times New Roman" w:hAnsi="Times New Roman" w:cs="Times New Roman"/>
        </w:rPr>
        <w:t xml:space="preserve"> </w:t>
      </w:r>
      <w:r>
        <w:rPr>
          <w:rFonts w:ascii="Times New Roman" w:hAnsi="Times New Roman" w:cs="Times New Roman"/>
        </w:rPr>
        <w:t>415.348,48 kn,</w:t>
      </w:r>
    </w:p>
    <w:p w:rsidR="00DD5633" w:rsidRDefault="00DD5633" w:rsidP="00DD5633">
      <w:pPr>
        <w:pStyle w:val="Standard"/>
        <w:jc w:val="both"/>
        <w:rPr>
          <w:rFonts w:hint="eastAsia"/>
        </w:rPr>
      </w:pPr>
      <w:r>
        <w:rPr>
          <w:rFonts w:ascii="Times New Roman" w:hAnsi="Times New Roman" w:cs="Times New Roman"/>
        </w:rPr>
        <w:t>-    AOP 021 Proizvedena dugotrajna imovina, odnosi se na smanjenje obujma</w:t>
      </w:r>
      <w:r>
        <w:rPr>
          <w:rFonts w:ascii="Times New Roman" w:eastAsia="Times New Roman" w:hAnsi="Times New Roman" w:cs="Times New Roman"/>
        </w:rPr>
        <w:t xml:space="preserve"> </w:t>
      </w:r>
      <w:r>
        <w:rPr>
          <w:rFonts w:ascii="Times New Roman" w:hAnsi="Times New Roman" w:cs="Times New Roman"/>
        </w:rPr>
        <w:t>proizvedene dugotrajne imovine za prijenos ulaganja na dokapitalizaciju tvrtci</w:t>
      </w:r>
      <w:r>
        <w:rPr>
          <w:rFonts w:ascii="Times New Roman" w:eastAsia="Times New Roman" w:hAnsi="Times New Roman" w:cs="Times New Roman"/>
        </w:rPr>
        <w:t xml:space="preserve"> </w:t>
      </w:r>
      <w:proofErr w:type="spellStart"/>
      <w:r>
        <w:rPr>
          <w:rFonts w:ascii="Times New Roman" w:hAnsi="Times New Roman" w:cs="Times New Roman"/>
        </w:rPr>
        <w:t>Komrad</w:t>
      </w:r>
      <w:proofErr w:type="spellEnd"/>
      <w:r>
        <w:rPr>
          <w:rFonts w:ascii="Times New Roman" w:hAnsi="Times New Roman" w:cs="Times New Roman"/>
        </w:rPr>
        <w:t xml:space="preserve"> d.o.o. u iznosu od 84.696,33 kune, zatim </w:t>
      </w:r>
      <w:proofErr w:type="spellStart"/>
      <w:r>
        <w:rPr>
          <w:rFonts w:ascii="Times New Roman" w:hAnsi="Times New Roman" w:cs="Times New Roman"/>
        </w:rPr>
        <w:t>isknjiženje</w:t>
      </w:r>
      <w:proofErr w:type="spellEnd"/>
      <w:r>
        <w:rPr>
          <w:rFonts w:ascii="Times New Roman" w:hAnsi="Times New Roman" w:cs="Times New Roman"/>
        </w:rPr>
        <w:t xml:space="preserve"> radnog stroja</w:t>
      </w:r>
      <w:r>
        <w:t xml:space="preserve"> </w:t>
      </w:r>
      <w:proofErr w:type="spellStart"/>
      <w:r>
        <w:rPr>
          <w:rFonts w:ascii="Times New Roman" w:hAnsi="Times New Roman" w:cs="Times New Roman"/>
        </w:rPr>
        <w:t>kompaktora</w:t>
      </w:r>
      <w:proofErr w:type="spellEnd"/>
      <w:r>
        <w:rPr>
          <w:rFonts w:ascii="Times New Roman" w:hAnsi="Times New Roman" w:cs="Times New Roman"/>
        </w:rPr>
        <w:t xml:space="preserve">  u iznosu od 109.597,23 kune, kanti i koševa za otpad u iznosu od</w:t>
      </w:r>
      <w:r>
        <w:t xml:space="preserve"> </w:t>
      </w:r>
      <w:r>
        <w:rPr>
          <w:rFonts w:ascii="Times New Roman" w:hAnsi="Times New Roman" w:cs="Times New Roman"/>
        </w:rPr>
        <w:t>33.811,20 kuna kao rezultat duple evidencije u Gradu i tvrtci Slatina kom d.o.o.</w:t>
      </w:r>
      <w:r>
        <w:t xml:space="preserve"> </w:t>
      </w:r>
      <w:r>
        <w:rPr>
          <w:rFonts w:ascii="Times New Roman" w:hAnsi="Times New Roman" w:cs="Times New Roman"/>
        </w:rPr>
        <w:t xml:space="preserve">Slatina te </w:t>
      </w:r>
      <w:proofErr w:type="spellStart"/>
      <w:r>
        <w:rPr>
          <w:rFonts w:ascii="Times New Roman" w:hAnsi="Times New Roman" w:cs="Times New Roman"/>
        </w:rPr>
        <w:t>isknjiženje</w:t>
      </w:r>
      <w:proofErr w:type="spellEnd"/>
      <w:r>
        <w:rPr>
          <w:rFonts w:ascii="Times New Roman" w:hAnsi="Times New Roman" w:cs="Times New Roman"/>
        </w:rPr>
        <w:t xml:space="preserve"> 2 komada tlačne cijevi po inventuri kod Javne vatrogasne postrojbe u iznosu od 425 kuna.</w:t>
      </w:r>
    </w:p>
    <w:p w:rsidR="00DD5633" w:rsidRDefault="00DD5633" w:rsidP="00DD5633">
      <w:pPr>
        <w:pStyle w:val="Standard"/>
        <w:jc w:val="both"/>
        <w:rPr>
          <w:rFonts w:hint="eastAsia"/>
        </w:rPr>
      </w:pPr>
      <w:r>
        <w:rPr>
          <w:rFonts w:ascii="Times New Roman" w:hAnsi="Times New Roman" w:cs="Times New Roman"/>
        </w:rPr>
        <w:t>-   AOP 032 Potraživanja za prihode poslovanja, smanjenje obujma je evidentirano u</w:t>
      </w:r>
      <w:r>
        <w:t xml:space="preserve"> </w:t>
      </w:r>
      <w:r>
        <w:rPr>
          <w:rFonts w:ascii="Times New Roman" w:hAnsi="Times New Roman" w:cs="Times New Roman"/>
        </w:rPr>
        <w:t>visini 4.343</w:t>
      </w:r>
      <w:r w:rsidR="00475BA7">
        <w:rPr>
          <w:rFonts w:ascii="Times New Roman" w:hAnsi="Times New Roman" w:cs="Times New Roman"/>
        </w:rPr>
        <w:t>.465 kuna, a odnosi se na otpis</w:t>
      </w:r>
      <w:r>
        <w:rPr>
          <w:rFonts w:ascii="Times New Roman" w:hAnsi="Times New Roman" w:cs="Times New Roman"/>
        </w:rPr>
        <w:t xml:space="preserve"> potraživanja za prihode poslovanja</w:t>
      </w:r>
      <w:r>
        <w:t xml:space="preserve"> </w:t>
      </w:r>
      <w:r>
        <w:rPr>
          <w:rFonts w:ascii="Times New Roman" w:hAnsi="Times New Roman" w:cs="Times New Roman"/>
        </w:rPr>
        <w:t>po</w:t>
      </w:r>
      <w:r w:rsidR="00475BA7">
        <w:rPr>
          <w:rFonts w:ascii="Times New Roman" w:hAnsi="Times New Roman" w:cs="Times New Roman"/>
        </w:rPr>
        <w:t xml:space="preserve"> Odluci Gradonačelnika i Gradskog vijeća evidentiranih u</w:t>
      </w:r>
      <w:r>
        <w:rPr>
          <w:rFonts w:ascii="Times New Roman" w:hAnsi="Times New Roman" w:cs="Times New Roman"/>
        </w:rPr>
        <w:t xml:space="preserve"> Inventuri u iznosu od 268.731,30 kuna, zatim na </w:t>
      </w:r>
      <w:proofErr w:type="spellStart"/>
      <w:r>
        <w:rPr>
          <w:rFonts w:ascii="Times New Roman" w:hAnsi="Times New Roman" w:cs="Times New Roman"/>
        </w:rPr>
        <w:t>isknjiženje</w:t>
      </w:r>
      <w:proofErr w:type="spellEnd"/>
      <w:r>
        <w:rPr>
          <w:rFonts w:ascii="Times New Roman" w:hAnsi="Times New Roman" w:cs="Times New Roman"/>
        </w:rPr>
        <w:t xml:space="preserve"> sumnjivih i spornih</w:t>
      </w:r>
      <w:r>
        <w:t xml:space="preserve"> </w:t>
      </w:r>
      <w:r>
        <w:rPr>
          <w:rFonts w:ascii="Times New Roman" w:hAnsi="Times New Roman" w:cs="Times New Roman"/>
        </w:rPr>
        <w:t xml:space="preserve">potraživanja u iznosu od 3.834.873,20 kuna, </w:t>
      </w:r>
      <w:proofErr w:type="spellStart"/>
      <w:r>
        <w:rPr>
          <w:rFonts w:ascii="Times New Roman" w:hAnsi="Times New Roman" w:cs="Times New Roman"/>
        </w:rPr>
        <w:t>isknjiženje</w:t>
      </w:r>
      <w:proofErr w:type="spellEnd"/>
      <w:r>
        <w:rPr>
          <w:rFonts w:ascii="Times New Roman" w:hAnsi="Times New Roman" w:cs="Times New Roman"/>
        </w:rPr>
        <w:t xml:space="preserve"> poreza na</w:t>
      </w:r>
      <w:r>
        <w:rPr>
          <w:rFonts w:ascii="Times New Roman" w:eastAsia="Times New Roman" w:hAnsi="Times New Roman" w:cs="Times New Roman"/>
        </w:rPr>
        <w:t xml:space="preserve"> </w:t>
      </w:r>
      <w:r>
        <w:rPr>
          <w:rFonts w:ascii="Times New Roman" w:hAnsi="Times New Roman" w:cs="Times New Roman"/>
        </w:rPr>
        <w:t xml:space="preserve">potrošnju po Odluci Porezne uprave  u iznosu od 237.858,04 kune te </w:t>
      </w:r>
      <w:proofErr w:type="spellStart"/>
      <w:r>
        <w:rPr>
          <w:rFonts w:ascii="Times New Roman" w:hAnsi="Times New Roman" w:cs="Times New Roman"/>
        </w:rPr>
        <w:t>isknjiženje</w:t>
      </w:r>
      <w:proofErr w:type="spellEnd"/>
      <w:r>
        <w:rPr>
          <w:rFonts w:ascii="Times New Roman" w:eastAsia="Times New Roman" w:hAnsi="Times New Roman" w:cs="Times New Roman"/>
        </w:rPr>
        <w:t xml:space="preserve"> </w:t>
      </w:r>
      <w:r>
        <w:rPr>
          <w:rFonts w:ascii="Times New Roman" w:hAnsi="Times New Roman" w:cs="Times New Roman"/>
        </w:rPr>
        <w:t>potraživanja od roditelja za smještaj djece u vrtiću u iznosu od 2.002 kune</w:t>
      </w:r>
      <w:r w:rsidR="00AC161A">
        <w:rPr>
          <w:rFonts w:ascii="Times New Roman" w:hAnsi="Times New Roman" w:cs="Times New Roman"/>
        </w:rPr>
        <w:t xml:space="preserve"> u Dječjem vrtiću „Zeko“ u Slatini</w:t>
      </w:r>
      <w:r>
        <w:rPr>
          <w:rFonts w:ascii="Times New Roman" w:hAnsi="Times New Roman" w:cs="Times New Roman"/>
        </w:rPr>
        <w:t>.</w:t>
      </w:r>
    </w:p>
    <w:p w:rsidR="00DD5633" w:rsidRDefault="00DD5633" w:rsidP="00DD5633">
      <w:pPr>
        <w:pStyle w:val="Standard"/>
        <w:jc w:val="both"/>
        <w:rPr>
          <w:rFonts w:hint="eastAsia"/>
        </w:rPr>
      </w:pPr>
      <w:r>
        <w:rPr>
          <w:rFonts w:ascii="Times New Roman" w:hAnsi="Times New Roman" w:cs="Times New Roman"/>
        </w:rPr>
        <w:t>-  AOP 033 Potraživanja od prodaje nefinancijske imovine, iznos smanjenja obujma</w:t>
      </w:r>
      <w:r>
        <w:t xml:space="preserve"> </w:t>
      </w:r>
      <w:r>
        <w:rPr>
          <w:rFonts w:ascii="Times New Roman" w:hAnsi="Times New Roman" w:cs="Times New Roman"/>
        </w:rPr>
        <w:t xml:space="preserve">odnosi se </w:t>
      </w:r>
      <w:proofErr w:type="spellStart"/>
      <w:r w:rsidR="00AC161A">
        <w:rPr>
          <w:rFonts w:ascii="Times New Roman" w:hAnsi="Times New Roman" w:cs="Times New Roman"/>
        </w:rPr>
        <w:t>isknjiženje</w:t>
      </w:r>
      <w:proofErr w:type="spellEnd"/>
      <w:r>
        <w:rPr>
          <w:rFonts w:ascii="Times New Roman" w:hAnsi="Times New Roman" w:cs="Times New Roman"/>
        </w:rPr>
        <w:t xml:space="preserve"> potraživanja za osnivački</w:t>
      </w:r>
      <w:r>
        <w:rPr>
          <w:rFonts w:ascii="Times New Roman" w:eastAsia="Times New Roman" w:hAnsi="Times New Roman" w:cs="Times New Roman"/>
        </w:rPr>
        <w:t xml:space="preserve">  </w:t>
      </w:r>
      <w:r>
        <w:rPr>
          <w:rFonts w:ascii="Times New Roman" w:hAnsi="Times New Roman" w:cs="Times New Roman"/>
        </w:rPr>
        <w:t xml:space="preserve">udio u tvrtci </w:t>
      </w:r>
      <w:proofErr w:type="spellStart"/>
      <w:r>
        <w:rPr>
          <w:rFonts w:ascii="Times New Roman" w:hAnsi="Times New Roman" w:cs="Times New Roman"/>
        </w:rPr>
        <w:t>Geoslatina</w:t>
      </w:r>
      <w:proofErr w:type="spellEnd"/>
      <w:r>
        <w:rPr>
          <w:rFonts w:ascii="Times New Roman" w:hAnsi="Times New Roman" w:cs="Times New Roman"/>
        </w:rPr>
        <w:t xml:space="preserve"> d.o.o. te tvrtci Športski objekti d.o.o. u iznosu od 2.921.000,00 kuna jer su navedene tvrtke ugašene.</w:t>
      </w:r>
    </w:p>
    <w:p w:rsidR="00DD5633" w:rsidRDefault="00DD5633" w:rsidP="00DD5633">
      <w:pPr>
        <w:pStyle w:val="Standard"/>
        <w:jc w:val="both"/>
        <w:rPr>
          <w:rFonts w:ascii="Times New Roman" w:hAnsi="Times New Roman" w:cs="Times New Roman"/>
        </w:rPr>
      </w:pPr>
    </w:p>
    <w:p w:rsidR="00DD5633" w:rsidRDefault="00DD5633" w:rsidP="00DD5633">
      <w:pPr>
        <w:pStyle w:val="Naslov1"/>
        <w:jc w:val="both"/>
      </w:pPr>
      <w:r>
        <w:rPr>
          <w:u w:val="none"/>
        </w:rPr>
        <w:t>Bilješke uz Izvještaj o obvezama – uz obrazac: Obveze</w:t>
      </w:r>
    </w:p>
    <w:p w:rsidR="00DD5633" w:rsidRDefault="00DD5633" w:rsidP="00DD5633">
      <w:pPr>
        <w:jc w:val="both"/>
        <w:rPr>
          <w:u w:val="single"/>
        </w:rPr>
      </w:pPr>
    </w:p>
    <w:p w:rsidR="00DD5633" w:rsidRDefault="00DD5633" w:rsidP="00DD5633">
      <w:pPr>
        <w:jc w:val="both"/>
      </w:pPr>
      <w:r>
        <w:rPr>
          <w:u w:val="single"/>
        </w:rPr>
        <w:t>Bilješka broj 1. vezana za AOP oznaku 001 Stanje obveza na početku izvještajnog razdoblja</w:t>
      </w:r>
    </w:p>
    <w:p w:rsidR="00DD5633" w:rsidRDefault="00DD5633" w:rsidP="00DD5633">
      <w:pPr>
        <w:jc w:val="both"/>
        <w:rPr>
          <w:u w:val="single"/>
        </w:rPr>
      </w:pPr>
    </w:p>
    <w:p w:rsidR="00DD5633" w:rsidRDefault="00DD5633" w:rsidP="00DD5633">
      <w:pPr>
        <w:jc w:val="both"/>
      </w:pPr>
      <w:r>
        <w:t>Stanje obveza na početku izvještajnog razdoblja 1. siječnja iznosilo je 14.748.608 kuna, a sastoji se od obveza koje su evidentirali:</w:t>
      </w:r>
    </w:p>
    <w:p w:rsidR="00DD5633" w:rsidRDefault="00DD5633" w:rsidP="00DD5633">
      <w:pPr>
        <w:numPr>
          <w:ilvl w:val="0"/>
          <w:numId w:val="7"/>
        </w:numPr>
        <w:jc w:val="both"/>
      </w:pPr>
      <w:r>
        <w:t>Grad Slatina u visini 14.302.290 kuna,</w:t>
      </w:r>
    </w:p>
    <w:p w:rsidR="00DD5633" w:rsidRDefault="00DD5633" w:rsidP="00DD5633">
      <w:pPr>
        <w:numPr>
          <w:ilvl w:val="0"/>
          <w:numId w:val="7"/>
        </w:numPr>
        <w:jc w:val="both"/>
      </w:pPr>
      <w:r>
        <w:t>Dječji  vrtić  „Zeko“ Slatina u visini 58.681 kunu,</w:t>
      </w:r>
    </w:p>
    <w:p w:rsidR="00DD5633" w:rsidRDefault="00DD5633" w:rsidP="00DD5633">
      <w:pPr>
        <w:numPr>
          <w:ilvl w:val="0"/>
          <w:numId w:val="7"/>
        </w:numPr>
        <w:jc w:val="both"/>
      </w:pPr>
      <w:r>
        <w:t>Pučko  otvoreno  učilište Slatina u visini  67.730 kuna,</w:t>
      </w:r>
    </w:p>
    <w:p w:rsidR="00DD5633" w:rsidRDefault="00DD5633" w:rsidP="00DD5633">
      <w:pPr>
        <w:numPr>
          <w:ilvl w:val="0"/>
          <w:numId w:val="7"/>
        </w:numPr>
        <w:jc w:val="both"/>
      </w:pPr>
      <w:r>
        <w:t>Gradska knjižnica i čitaonica u visini 37.602 kune,</w:t>
      </w:r>
    </w:p>
    <w:p w:rsidR="00DD5633" w:rsidRDefault="00DD5633" w:rsidP="00DD5633">
      <w:pPr>
        <w:numPr>
          <w:ilvl w:val="0"/>
          <w:numId w:val="7"/>
        </w:numPr>
        <w:jc w:val="both"/>
      </w:pPr>
      <w:r>
        <w:t>Zavičajni  muzej Slatina u visini  45.430 kuna,</w:t>
      </w:r>
    </w:p>
    <w:p w:rsidR="00DD5633" w:rsidRDefault="00DD5633" w:rsidP="00DD5633">
      <w:pPr>
        <w:numPr>
          <w:ilvl w:val="0"/>
          <w:numId w:val="7"/>
        </w:numPr>
        <w:jc w:val="both"/>
      </w:pPr>
      <w:r>
        <w:t>Javna vatrogasna postrojba u visini od 223.565 kuna,</w:t>
      </w:r>
    </w:p>
    <w:p w:rsidR="00DD5633" w:rsidRDefault="00DD5633" w:rsidP="00DD5633">
      <w:pPr>
        <w:numPr>
          <w:ilvl w:val="0"/>
          <w:numId w:val="7"/>
        </w:numPr>
        <w:jc w:val="both"/>
      </w:pPr>
      <w:r>
        <w:t>Gradska razvojna agencija Grada Slatine 13.310 kuna.</w:t>
      </w:r>
    </w:p>
    <w:p w:rsidR="00DD5633" w:rsidRDefault="00DD5633" w:rsidP="00DD5633">
      <w:pPr>
        <w:jc w:val="both"/>
        <w:rPr>
          <w:u w:val="single"/>
        </w:rPr>
      </w:pPr>
    </w:p>
    <w:p w:rsidR="00DD5633" w:rsidRDefault="00DD5633" w:rsidP="00DD5633">
      <w:pPr>
        <w:jc w:val="both"/>
      </w:pPr>
      <w:r>
        <w:rPr>
          <w:u w:val="single"/>
        </w:rPr>
        <w:t>Bilješka broj 2. vezana za AOP oznaku 036 Stanje obveza na kraju izvještajnog razdoblja</w:t>
      </w:r>
    </w:p>
    <w:p w:rsidR="00DD5633" w:rsidRDefault="00DD5633" w:rsidP="00DD5633">
      <w:pPr>
        <w:jc w:val="both"/>
        <w:rPr>
          <w:u w:val="single"/>
        </w:rPr>
      </w:pPr>
    </w:p>
    <w:p w:rsidR="00DD5633" w:rsidRDefault="00DD5633" w:rsidP="00DD5633">
      <w:pPr>
        <w:jc w:val="both"/>
      </w:pPr>
      <w:r>
        <w:t>Stanje obveza na kraju izvještajnog razdoblja 31. prosinca 2017. godine iznosi 12.494.382 kune, nastalo je kao rezultat zbrojenih obveza Grada  u visini od 12.724.804 kune sa obvezama proračunskih korisnika u visini od 672.560 kuna, umanjenog za</w:t>
      </w:r>
      <w:r w:rsidR="00AC161A">
        <w:t xml:space="preserve"> eliminirani </w:t>
      </w:r>
      <w:r>
        <w:t xml:space="preserve"> iznos potraživanja proračunskih korisnika od Grada u visini od 902.982 kune</w:t>
      </w:r>
      <w:r w:rsidR="00816787">
        <w:t>, opisan u Bilješci broj 4</w:t>
      </w:r>
      <w:r>
        <w:t>. Na kraju izvještajnog razdoblja u konsolidaciji obveze su evidentirali:</w:t>
      </w:r>
    </w:p>
    <w:p w:rsidR="00DD5633" w:rsidRDefault="00DD5633" w:rsidP="00DD5633">
      <w:pPr>
        <w:numPr>
          <w:ilvl w:val="0"/>
          <w:numId w:val="7"/>
        </w:numPr>
        <w:jc w:val="both"/>
      </w:pPr>
      <w:r>
        <w:t xml:space="preserve">Grad Slatina u visini 12.724.804 kune, </w:t>
      </w:r>
    </w:p>
    <w:p w:rsidR="00DD5633" w:rsidRDefault="00DD5633" w:rsidP="00DD5633">
      <w:pPr>
        <w:numPr>
          <w:ilvl w:val="0"/>
          <w:numId w:val="7"/>
        </w:numPr>
        <w:jc w:val="both"/>
      </w:pPr>
      <w:r>
        <w:t>Dječji  vrtić  „Zeko“ Slatina u visini  282.643 kune,</w:t>
      </w:r>
    </w:p>
    <w:p w:rsidR="00DD5633" w:rsidRDefault="00DD5633" w:rsidP="00DD5633">
      <w:pPr>
        <w:numPr>
          <w:ilvl w:val="0"/>
          <w:numId w:val="7"/>
        </w:numPr>
        <w:jc w:val="both"/>
      </w:pPr>
      <w:r>
        <w:t>Pučko  otvoreno  učilište Slatina u visini  53.377 kuna,</w:t>
      </w:r>
    </w:p>
    <w:p w:rsidR="00DD5633" w:rsidRDefault="00DD5633" w:rsidP="00DD5633">
      <w:pPr>
        <w:numPr>
          <w:ilvl w:val="0"/>
          <w:numId w:val="7"/>
        </w:numPr>
        <w:jc w:val="both"/>
      </w:pPr>
      <w:r>
        <w:t>Gradska knjižnica i čitaonica u visini 31.773 kune,</w:t>
      </w:r>
    </w:p>
    <w:p w:rsidR="00DD5633" w:rsidRDefault="00DD5633" w:rsidP="00DD5633">
      <w:pPr>
        <w:numPr>
          <w:ilvl w:val="0"/>
          <w:numId w:val="7"/>
        </w:numPr>
        <w:jc w:val="both"/>
      </w:pPr>
      <w:r>
        <w:t>Zavičajni  muzeja Slatina u visini  22.784 kune,</w:t>
      </w:r>
    </w:p>
    <w:p w:rsidR="00DD5633" w:rsidRDefault="00DD5633" w:rsidP="00DD5633">
      <w:pPr>
        <w:numPr>
          <w:ilvl w:val="0"/>
          <w:numId w:val="7"/>
        </w:numPr>
        <w:jc w:val="both"/>
      </w:pPr>
      <w:r>
        <w:t>Javna vatrogasna postrojba grada Slatine 238.289  kuna,</w:t>
      </w:r>
    </w:p>
    <w:p w:rsidR="00DD5633" w:rsidRDefault="00DD5633" w:rsidP="00DD5633">
      <w:pPr>
        <w:numPr>
          <w:ilvl w:val="0"/>
          <w:numId w:val="7"/>
        </w:numPr>
        <w:jc w:val="both"/>
      </w:pPr>
      <w:r>
        <w:lastRenderedPageBreak/>
        <w:t>Gradska razvojna agencija Grada Slatine 43.694 kune.</w:t>
      </w:r>
    </w:p>
    <w:p w:rsidR="00DD5633" w:rsidRDefault="00DD5633" w:rsidP="00DD5633">
      <w:pPr>
        <w:jc w:val="both"/>
        <w:rPr>
          <w:u w:val="single"/>
        </w:rPr>
      </w:pPr>
    </w:p>
    <w:p w:rsidR="00DD5633" w:rsidRDefault="00DD5633" w:rsidP="00DD5633">
      <w:pPr>
        <w:jc w:val="both"/>
      </w:pPr>
      <w:r>
        <w:rPr>
          <w:u w:val="single"/>
        </w:rPr>
        <w:t>Bilješka broj 3. vezana za AOP oznaku 037 Stanje dospjelih obveza na kraju izvještajnog razdoblja</w:t>
      </w:r>
    </w:p>
    <w:p w:rsidR="00DD5633" w:rsidRDefault="00DD5633" w:rsidP="00DD5633">
      <w:pPr>
        <w:jc w:val="both"/>
        <w:rPr>
          <w:u w:val="single"/>
        </w:rPr>
      </w:pPr>
    </w:p>
    <w:p w:rsidR="00DD5633" w:rsidRDefault="00DD5633" w:rsidP="00DD5633">
      <w:pPr>
        <w:jc w:val="both"/>
      </w:pPr>
      <w:r>
        <w:t>Stanje dospjelih obveza na kraju izvještajnog razdoblja evidentirano je u visini 2.584.259 kuna, a čine ih dospjele obveze Grada u visini od 2.550.557 kuna, obveze Dječjeg vrtića Zeko u visini 1.130 kuna i obveze Javne vatrogasne postrojbe u visini od 32.572 kune.</w:t>
      </w:r>
    </w:p>
    <w:p w:rsidR="00DD5633" w:rsidRDefault="00DD5633" w:rsidP="00DD5633">
      <w:pPr>
        <w:ind w:firstLine="708"/>
        <w:jc w:val="both"/>
      </w:pPr>
    </w:p>
    <w:p w:rsidR="00DD5633" w:rsidRDefault="00DD5633" w:rsidP="00DD5633">
      <w:pPr>
        <w:jc w:val="both"/>
      </w:pPr>
      <w:r>
        <w:rPr>
          <w:u w:val="single"/>
        </w:rPr>
        <w:t>Bilješka broj 4. vezana za AOP oznaku 090 Stanje  nedospjelih obveza na kraju izvještajnog razdoblja</w:t>
      </w:r>
    </w:p>
    <w:p w:rsidR="00DD5633" w:rsidRDefault="00DD5633" w:rsidP="00DD5633">
      <w:pPr>
        <w:jc w:val="both"/>
        <w:rPr>
          <w:u w:val="single"/>
        </w:rPr>
      </w:pPr>
    </w:p>
    <w:p w:rsidR="00DD5633" w:rsidRDefault="00DD5633" w:rsidP="00DD5633">
      <w:pPr>
        <w:jc w:val="both"/>
      </w:pPr>
      <w:r>
        <w:t>Stanje nedospjelih obveza na kraju izvještajnog razdoblja 31.12.2017. godine iznosi 10.813.106 kuna, umanjene su za potraživanja proračunskih korisnika od Grada u iznosu od 902.982 kune, a ostvarili su ih:</w:t>
      </w:r>
    </w:p>
    <w:p w:rsidR="00DD5633" w:rsidRDefault="00DD5633" w:rsidP="00DD5633">
      <w:pPr>
        <w:numPr>
          <w:ilvl w:val="0"/>
          <w:numId w:val="7"/>
        </w:numPr>
        <w:jc w:val="both"/>
      </w:pPr>
      <w:r>
        <w:t xml:space="preserve">Grad Slatina u visini 10.174.247 kuna, </w:t>
      </w:r>
    </w:p>
    <w:p w:rsidR="00DD5633" w:rsidRDefault="00DD5633" w:rsidP="00DD5633">
      <w:pPr>
        <w:numPr>
          <w:ilvl w:val="0"/>
          <w:numId w:val="7"/>
        </w:numPr>
        <w:jc w:val="both"/>
      </w:pPr>
      <w:r>
        <w:t>Dječji vrtić „Zeko” Slatina u visini od 281.513 kuna,</w:t>
      </w:r>
    </w:p>
    <w:p w:rsidR="00DD5633" w:rsidRDefault="00DD5633" w:rsidP="00DD5633">
      <w:pPr>
        <w:numPr>
          <w:ilvl w:val="0"/>
          <w:numId w:val="7"/>
        </w:numPr>
        <w:jc w:val="both"/>
      </w:pPr>
      <w:r>
        <w:t>Pučko  otvoreno  učilište Slatina u visini  53.377 kuna,</w:t>
      </w:r>
    </w:p>
    <w:p w:rsidR="00DD5633" w:rsidRDefault="00DD5633" w:rsidP="00DD5633">
      <w:pPr>
        <w:numPr>
          <w:ilvl w:val="0"/>
          <w:numId w:val="7"/>
        </w:numPr>
        <w:jc w:val="both"/>
      </w:pPr>
      <w:r>
        <w:t>Gradska knjižnica i čitaonica u visini 31.773 kune,</w:t>
      </w:r>
    </w:p>
    <w:p w:rsidR="00DD5633" w:rsidRDefault="00DD5633" w:rsidP="00DD5633">
      <w:pPr>
        <w:numPr>
          <w:ilvl w:val="0"/>
          <w:numId w:val="7"/>
        </w:numPr>
        <w:jc w:val="both"/>
      </w:pPr>
      <w:r>
        <w:t>Zavičajni  muzeja Slatina u visini  22.784 kune,</w:t>
      </w:r>
    </w:p>
    <w:p w:rsidR="00DD5633" w:rsidRDefault="00DD5633" w:rsidP="00DD5633">
      <w:pPr>
        <w:numPr>
          <w:ilvl w:val="0"/>
          <w:numId w:val="7"/>
        </w:numPr>
        <w:jc w:val="both"/>
      </w:pPr>
      <w:r>
        <w:t>Javna vatrogasna postrojba grada Slatine 205.717  kuna,</w:t>
      </w:r>
    </w:p>
    <w:p w:rsidR="00DD5633" w:rsidRDefault="00DD5633" w:rsidP="00AF284E">
      <w:pPr>
        <w:pStyle w:val="Odlomakpopisa"/>
        <w:numPr>
          <w:ilvl w:val="0"/>
          <w:numId w:val="7"/>
        </w:numPr>
        <w:jc w:val="both"/>
      </w:pPr>
      <w:r>
        <w:t>Gradska razvojna agencija Grada Slatine 43.695 kuna.</w:t>
      </w:r>
    </w:p>
    <w:p w:rsidR="00DD5633" w:rsidRDefault="00DD5633" w:rsidP="00DD5633">
      <w:pPr>
        <w:jc w:val="both"/>
        <w:rPr>
          <w:u w:val="single"/>
        </w:rPr>
      </w:pPr>
    </w:p>
    <w:p w:rsidR="00DD5633" w:rsidRDefault="00DD5633" w:rsidP="00DD5633">
      <w:pPr>
        <w:jc w:val="both"/>
      </w:pPr>
      <w:r>
        <w:rPr>
          <w:u w:val="single"/>
        </w:rPr>
        <w:t>Bilješka broj 5. vezana za AOP oznaku 091 Međusobne obveze proračunskih korisnika</w:t>
      </w:r>
    </w:p>
    <w:p w:rsidR="00DD5633" w:rsidRDefault="00DD5633" w:rsidP="00DD5633">
      <w:pPr>
        <w:jc w:val="both"/>
        <w:rPr>
          <w:u w:val="single"/>
        </w:rPr>
      </w:pPr>
    </w:p>
    <w:p w:rsidR="00DD5633" w:rsidRDefault="00DD5633" w:rsidP="00DD5633">
      <w:pPr>
        <w:jc w:val="both"/>
      </w:pPr>
      <w:r>
        <w:t>Međusobne obveze proračunskih korisnika evidentirane u visini od 59.392 kune odnose se na nedospjele obveze Grada Slatine prema Državnom proračunu za sakupljene prihode od prodaje stanova sa stanarskim pravom u visini od 43.813 kuna i  obveza za preostala sredstva proračunskih korisnika u gradskom proračunu u iznosu od 15.579 kuna koji se sastoje od: 15.559 kuna sredstava Javne vatrogasne postrojbe dobivene iz Državnog proračuna za financiranje decentraliziranih funkcija vatrogastva koje Javna vatrogasna postrojba nije uspjela realizirati do 31.12.2017., a za taj iznos ima stvorene obveze te 19 kuna razlike koju čine kamate proračunskih korisnika na novčanim sredstvima.</w:t>
      </w:r>
    </w:p>
    <w:p w:rsidR="00DD5633" w:rsidRDefault="00DD5633" w:rsidP="00DD5633">
      <w:pPr>
        <w:ind w:firstLine="708"/>
        <w:jc w:val="both"/>
      </w:pPr>
    </w:p>
    <w:p w:rsidR="00DD5633" w:rsidRDefault="00DD5633" w:rsidP="00DD5633">
      <w:pPr>
        <w:jc w:val="both"/>
      </w:pPr>
      <w:r>
        <w:t>U Slatini, 28. veljače 201</w:t>
      </w:r>
      <w:r w:rsidR="0012611E">
        <w:t>8</w:t>
      </w:r>
      <w:r>
        <w:t xml:space="preserve">. godine </w:t>
      </w:r>
    </w:p>
    <w:p w:rsidR="00DD5633" w:rsidRDefault="00DD5633" w:rsidP="00DD5633">
      <w:pPr>
        <w:jc w:val="both"/>
      </w:pPr>
      <w:r>
        <w:t xml:space="preserve">Osoba za kontaktiranje: Vesna </w:t>
      </w:r>
      <w:proofErr w:type="spellStart"/>
      <w:r>
        <w:t>Hudoletnjak</w:t>
      </w:r>
      <w:proofErr w:type="spellEnd"/>
      <w:r>
        <w:t>, dipl. oec.</w:t>
      </w:r>
    </w:p>
    <w:p w:rsidR="00DD5633" w:rsidRDefault="00DD5633" w:rsidP="00DD5633">
      <w:pPr>
        <w:jc w:val="both"/>
      </w:pPr>
      <w:r>
        <w:t>Telefon: 033/492-203</w:t>
      </w:r>
    </w:p>
    <w:p w:rsidR="00AF284E" w:rsidRDefault="00AF284E" w:rsidP="00DD5633">
      <w:pPr>
        <w:jc w:val="both"/>
      </w:pPr>
    </w:p>
    <w:p w:rsidR="0012611E" w:rsidRDefault="0012611E" w:rsidP="00DD5633">
      <w:pPr>
        <w:jc w:val="both"/>
      </w:pPr>
    </w:p>
    <w:p w:rsidR="0012611E" w:rsidRDefault="0012611E" w:rsidP="00DD5633">
      <w:pPr>
        <w:jc w:val="both"/>
      </w:pPr>
    </w:p>
    <w:p w:rsidR="0012611E" w:rsidRDefault="0012611E" w:rsidP="00DD5633">
      <w:pPr>
        <w:jc w:val="both"/>
      </w:pPr>
    </w:p>
    <w:p w:rsidR="00DD5633" w:rsidRDefault="00DD5633" w:rsidP="00DD5633">
      <w:pPr>
        <w:jc w:val="both"/>
      </w:pPr>
      <w:r>
        <w:t xml:space="preserve">                                                                                    </w:t>
      </w:r>
      <w:r w:rsidR="0012611E">
        <w:t xml:space="preserve">           </w:t>
      </w:r>
      <w:r>
        <w:t xml:space="preserve">     Zakonski predstavnik</w:t>
      </w:r>
    </w:p>
    <w:p w:rsidR="00AF284E" w:rsidRDefault="00AF284E" w:rsidP="00DD5633">
      <w:pPr>
        <w:jc w:val="both"/>
      </w:pPr>
    </w:p>
    <w:p w:rsidR="00AF284E" w:rsidRDefault="00AF284E" w:rsidP="00DD5633">
      <w:pPr>
        <w:jc w:val="both"/>
      </w:pPr>
      <w:r>
        <w:t xml:space="preserve">                                                                                </w:t>
      </w:r>
      <w:r w:rsidR="0012611E">
        <w:t xml:space="preserve">     </w:t>
      </w:r>
      <w:bookmarkStart w:id="0" w:name="_GoBack"/>
      <w:bookmarkEnd w:id="0"/>
      <w:r>
        <w:t xml:space="preserve">              __________________</w:t>
      </w:r>
    </w:p>
    <w:p w:rsidR="00DD5633" w:rsidRDefault="00DD5633" w:rsidP="00DD5633">
      <w:pPr>
        <w:jc w:val="both"/>
      </w:pPr>
      <w:r>
        <w:t xml:space="preserve">                                                                              </w:t>
      </w:r>
      <w:r w:rsidR="0012611E">
        <w:t xml:space="preserve">       </w:t>
      </w:r>
      <w:r>
        <w:t xml:space="preserve">                /Denis </w:t>
      </w:r>
      <w:proofErr w:type="spellStart"/>
      <w:r>
        <w:t>Ostrošić</w:t>
      </w:r>
      <w:proofErr w:type="spellEnd"/>
      <w:r>
        <w:t>, prof./</w:t>
      </w:r>
    </w:p>
    <w:p w:rsidR="00F272ED" w:rsidRDefault="00F272ED"/>
    <w:sectPr w:rsidR="00F272ED" w:rsidSect="00EB460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62" w:rsidRDefault="00EB6262" w:rsidP="00DD5633">
      <w:r>
        <w:separator/>
      </w:r>
    </w:p>
  </w:endnote>
  <w:endnote w:type="continuationSeparator" w:id="0">
    <w:p w:rsidR="00EB6262" w:rsidRDefault="00EB6262" w:rsidP="00DD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39411"/>
      <w:docPartObj>
        <w:docPartGallery w:val="Page Numbers (Bottom of Page)"/>
        <w:docPartUnique/>
      </w:docPartObj>
    </w:sdtPr>
    <w:sdtContent>
      <w:p w:rsidR="00B05C5E" w:rsidRDefault="00B05C5E">
        <w:pPr>
          <w:pStyle w:val="Podnoje"/>
          <w:jc w:val="right"/>
        </w:pPr>
        <w:r>
          <w:fldChar w:fldCharType="begin"/>
        </w:r>
        <w:r>
          <w:instrText>PAGE   \* MERGEFORMAT</w:instrText>
        </w:r>
        <w:r>
          <w:fldChar w:fldCharType="separate"/>
        </w:r>
        <w:r w:rsidR="0012611E">
          <w:rPr>
            <w:noProof/>
          </w:rPr>
          <w:t>21</w:t>
        </w:r>
        <w:r>
          <w:fldChar w:fldCharType="end"/>
        </w:r>
      </w:p>
    </w:sdtContent>
  </w:sdt>
  <w:p w:rsidR="00B05C5E" w:rsidRDefault="00B05C5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62" w:rsidRDefault="00EB6262" w:rsidP="00DD5633">
      <w:r>
        <w:separator/>
      </w:r>
    </w:p>
  </w:footnote>
  <w:footnote w:type="continuationSeparator" w:id="0">
    <w:p w:rsidR="00EB6262" w:rsidRDefault="00EB6262" w:rsidP="00DD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b/>
      </w:rPr>
    </w:lvl>
  </w:abstractNum>
  <w:abstractNum w:abstractNumId="2">
    <w:nsid w:val="00000003"/>
    <w:multiLevelType w:val="multilevel"/>
    <w:tmpl w:val="00000003"/>
    <w:name w:val="WW8Num3"/>
    <w:lvl w:ilvl="0">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08"/>
    <w:multiLevelType w:val="multilevel"/>
    <w:tmpl w:val="00000008"/>
    <w:name w:val="WW8Num8"/>
    <w:lvl w:ilvl="0">
      <w:start w:val="1"/>
      <w:numFmt w:val="bullet"/>
      <w:lvlText w:val=""/>
      <w:lvlJc w:val="left"/>
      <w:pPr>
        <w:tabs>
          <w:tab w:val="num" w:pos="0"/>
        </w:tabs>
        <w:ind w:left="1776" w:hanging="360"/>
      </w:pPr>
      <w:rPr>
        <w:rFonts w:ascii="Wingdings" w:hAnsi="Wingdings" w:cs="Wingdings" w:hint="default"/>
      </w:rPr>
    </w:lvl>
    <w:lvl w:ilvl="1">
      <w:numFmt w:val="bullet"/>
      <w:lvlText w:val="-"/>
      <w:lvlJc w:val="left"/>
      <w:pPr>
        <w:tabs>
          <w:tab w:val="num" w:pos="0"/>
        </w:tabs>
        <w:ind w:left="2496" w:hanging="360"/>
      </w:pPr>
      <w:rPr>
        <w:rFonts w:ascii="Times New Roman" w:hAnsi="Times New Roman" w:cs="Times New Roman" w:hint="default"/>
        <w:b/>
      </w:rPr>
    </w:lvl>
    <w:lvl w:ilvl="2">
      <w:start w:val="805"/>
      <w:numFmt w:val="bullet"/>
      <w:lvlText w:val="←"/>
      <w:lvlJc w:val="left"/>
      <w:pPr>
        <w:tabs>
          <w:tab w:val="num" w:pos="0"/>
        </w:tabs>
        <w:ind w:left="3216" w:hanging="360"/>
      </w:pPr>
      <w:rPr>
        <w:rFonts w:ascii="Times New Roman" w:hAnsi="Times New Roman" w:cs="Times New Roman"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8">
    <w:nsid w:val="00000009"/>
    <w:multiLevelType w:val="multilevel"/>
    <w:tmpl w:val="00000009"/>
    <w:name w:val="WW8Num9"/>
    <w:lvl w:ilvl="0">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numFmt w:val="bullet"/>
      <w:lvlText w:val="o"/>
      <w:lvlJc w:val="left"/>
      <w:pPr>
        <w:tabs>
          <w:tab w:val="num" w:pos="0"/>
        </w:tabs>
        <w:ind w:left="0" w:firstLine="0"/>
      </w:pPr>
      <w:rPr>
        <w:rFonts w:ascii="Courier New" w:hAnsi="Courier New" w:cs="Times New Roman" w:hint="default"/>
        <w:b/>
        <w:lang w:val="pl-PL"/>
      </w:rPr>
    </w:lvl>
    <w:lvl w:ilvl="1">
      <w:numFmt w:val="bullet"/>
      <w:lvlText w:val=""/>
      <w:lvlJc w:val="left"/>
      <w:pPr>
        <w:tabs>
          <w:tab w:val="num" w:pos="0"/>
        </w:tabs>
        <w:ind w:left="0" w:firstLine="0"/>
      </w:pPr>
      <w:rPr>
        <w:rFonts w:ascii="Wingdings" w:hAnsi="Wingdings" w:cs="Wingdings"/>
      </w:rPr>
    </w:lvl>
    <w:lvl w:ilvl="2">
      <w:numFmt w:val="bullet"/>
      <w:lvlText w:val="-"/>
      <w:lvlJc w:val="left"/>
      <w:pPr>
        <w:tabs>
          <w:tab w:val="num" w:pos="0"/>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nsid w:val="0000000D"/>
    <w:multiLevelType w:val="multilevel"/>
    <w:tmpl w:val="0000000D"/>
    <w:name w:val="WW8Num13"/>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name w:val="WW8Num14"/>
    <w:lvl w:ilvl="0">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Wingdings" w:hint="default"/>
      </w:rPr>
    </w:lvl>
    <w:lvl w:ilvl="2">
      <w:numFmt w:val="bullet"/>
      <w:lvlText w:val="-"/>
      <w:lvlJc w:val="left"/>
      <w:pPr>
        <w:tabs>
          <w:tab w:val="num" w:pos="2340"/>
        </w:tabs>
        <w:ind w:left="2340" w:hanging="360"/>
      </w:pPr>
      <w:rPr>
        <w:rFonts w:ascii="Times New Roman" w:hAnsi="Times New Roman" w:cs="Times New Roman" w:hint="default"/>
        <w:b/>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BAC69CC"/>
    <w:multiLevelType w:val="hybridMultilevel"/>
    <w:tmpl w:val="12221878"/>
    <w:lvl w:ilvl="0" w:tplc="80B8819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33"/>
    <w:rsid w:val="00011C42"/>
    <w:rsid w:val="00057FE4"/>
    <w:rsid w:val="000A1E6B"/>
    <w:rsid w:val="000C5E4A"/>
    <w:rsid w:val="00106B86"/>
    <w:rsid w:val="0012611E"/>
    <w:rsid w:val="001E50CC"/>
    <w:rsid w:val="0020673B"/>
    <w:rsid w:val="00270B2B"/>
    <w:rsid w:val="002950E7"/>
    <w:rsid w:val="002A632B"/>
    <w:rsid w:val="002A770F"/>
    <w:rsid w:val="002F2DAD"/>
    <w:rsid w:val="003034EF"/>
    <w:rsid w:val="00323D92"/>
    <w:rsid w:val="00362695"/>
    <w:rsid w:val="003749FB"/>
    <w:rsid w:val="004517B6"/>
    <w:rsid w:val="00475BA7"/>
    <w:rsid w:val="004C744B"/>
    <w:rsid w:val="004E6AF6"/>
    <w:rsid w:val="005127D3"/>
    <w:rsid w:val="00554EF5"/>
    <w:rsid w:val="005C3CA1"/>
    <w:rsid w:val="0060744F"/>
    <w:rsid w:val="00614897"/>
    <w:rsid w:val="00633F7E"/>
    <w:rsid w:val="0066338A"/>
    <w:rsid w:val="006B0368"/>
    <w:rsid w:val="006D6C6A"/>
    <w:rsid w:val="00752C67"/>
    <w:rsid w:val="0077082D"/>
    <w:rsid w:val="00793CCE"/>
    <w:rsid w:val="007E41D3"/>
    <w:rsid w:val="0080236C"/>
    <w:rsid w:val="00805363"/>
    <w:rsid w:val="00816787"/>
    <w:rsid w:val="00892B5E"/>
    <w:rsid w:val="008F5124"/>
    <w:rsid w:val="00927FB9"/>
    <w:rsid w:val="00987C69"/>
    <w:rsid w:val="009B09C4"/>
    <w:rsid w:val="00A176E8"/>
    <w:rsid w:val="00AC161A"/>
    <w:rsid w:val="00AF284E"/>
    <w:rsid w:val="00B05C5E"/>
    <w:rsid w:val="00B46C62"/>
    <w:rsid w:val="00BC5C62"/>
    <w:rsid w:val="00BF6AC0"/>
    <w:rsid w:val="00C939CD"/>
    <w:rsid w:val="00C93FE3"/>
    <w:rsid w:val="00CB6F18"/>
    <w:rsid w:val="00CD5616"/>
    <w:rsid w:val="00D00B22"/>
    <w:rsid w:val="00D2639E"/>
    <w:rsid w:val="00D81BF3"/>
    <w:rsid w:val="00DD4CED"/>
    <w:rsid w:val="00DD5633"/>
    <w:rsid w:val="00DE2164"/>
    <w:rsid w:val="00DF2BB4"/>
    <w:rsid w:val="00E624F3"/>
    <w:rsid w:val="00E840B8"/>
    <w:rsid w:val="00EB460D"/>
    <w:rsid w:val="00EB6262"/>
    <w:rsid w:val="00F272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3"/>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DD5633"/>
    <w:pPr>
      <w:keepNext/>
      <w:numPr>
        <w:numId w:val="1"/>
      </w:numPr>
      <w:outlineLvl w:val="0"/>
    </w:pPr>
    <w:rPr>
      <w:b/>
      <w:bCs/>
      <w:u w:val="singl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D5633"/>
    <w:rPr>
      <w:rFonts w:ascii="Times New Roman" w:eastAsia="Times New Roman" w:hAnsi="Times New Roman" w:cs="Times New Roman"/>
      <w:b/>
      <w:bCs/>
      <w:sz w:val="24"/>
      <w:szCs w:val="24"/>
      <w:u w:val="single"/>
      <w:lang w:eastAsia="zh-CN"/>
    </w:rPr>
  </w:style>
  <w:style w:type="character" w:styleId="Hiperveza">
    <w:name w:val="Hyperlink"/>
    <w:rsid w:val="00DD5633"/>
    <w:rPr>
      <w:color w:val="0000FF"/>
      <w:u w:val="single"/>
    </w:rPr>
  </w:style>
  <w:style w:type="paragraph" w:customStyle="1" w:styleId="Heading">
    <w:name w:val="Heading"/>
    <w:basedOn w:val="Normal"/>
    <w:next w:val="Tijeloteksta"/>
    <w:rsid w:val="00DD5633"/>
    <w:pPr>
      <w:jc w:val="center"/>
    </w:pPr>
    <w:rPr>
      <w:b/>
      <w:bCs/>
    </w:rPr>
  </w:style>
  <w:style w:type="paragraph" w:customStyle="1" w:styleId="Standard">
    <w:name w:val="Standard"/>
    <w:rsid w:val="00DD5633"/>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Tijeloteksta">
    <w:name w:val="Body Text"/>
    <w:basedOn w:val="Normal"/>
    <w:link w:val="TijelotekstaChar"/>
    <w:uiPriority w:val="99"/>
    <w:semiHidden/>
    <w:unhideWhenUsed/>
    <w:rsid w:val="00DD5633"/>
    <w:pPr>
      <w:spacing w:after="120"/>
    </w:pPr>
  </w:style>
  <w:style w:type="character" w:customStyle="1" w:styleId="TijelotekstaChar">
    <w:name w:val="Tijelo teksta Char"/>
    <w:basedOn w:val="Zadanifontodlomka"/>
    <w:link w:val="Tijeloteksta"/>
    <w:uiPriority w:val="99"/>
    <w:semiHidden/>
    <w:rsid w:val="00DD5633"/>
    <w:rPr>
      <w:rFonts w:ascii="Times New Roman" w:eastAsia="Times New Roman" w:hAnsi="Times New Roman" w:cs="Times New Roman"/>
      <w:sz w:val="24"/>
      <w:szCs w:val="24"/>
      <w:lang w:eastAsia="zh-CN"/>
    </w:rPr>
  </w:style>
  <w:style w:type="paragraph" w:styleId="Zaglavlje">
    <w:name w:val="header"/>
    <w:basedOn w:val="Normal"/>
    <w:link w:val="ZaglavljeChar"/>
    <w:uiPriority w:val="99"/>
    <w:unhideWhenUsed/>
    <w:rsid w:val="00DD5633"/>
    <w:pPr>
      <w:tabs>
        <w:tab w:val="center" w:pos="4536"/>
        <w:tab w:val="right" w:pos="9072"/>
      </w:tabs>
    </w:pPr>
  </w:style>
  <w:style w:type="character" w:customStyle="1" w:styleId="ZaglavljeChar">
    <w:name w:val="Zaglavlje Char"/>
    <w:basedOn w:val="Zadanifontodlomka"/>
    <w:link w:val="Zaglavlje"/>
    <w:uiPriority w:val="99"/>
    <w:rsid w:val="00DD563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DD5633"/>
    <w:pPr>
      <w:tabs>
        <w:tab w:val="center" w:pos="4536"/>
        <w:tab w:val="right" w:pos="9072"/>
      </w:tabs>
    </w:pPr>
  </w:style>
  <w:style w:type="character" w:customStyle="1" w:styleId="PodnojeChar">
    <w:name w:val="Podnožje Char"/>
    <w:basedOn w:val="Zadanifontodlomka"/>
    <w:link w:val="Podnoje"/>
    <w:uiPriority w:val="99"/>
    <w:rsid w:val="00DD5633"/>
    <w:rPr>
      <w:rFonts w:ascii="Times New Roman" w:eastAsia="Times New Roman" w:hAnsi="Times New Roman" w:cs="Times New Roman"/>
      <w:sz w:val="24"/>
      <w:szCs w:val="24"/>
      <w:lang w:eastAsia="zh-CN"/>
    </w:rPr>
  </w:style>
  <w:style w:type="paragraph" w:styleId="Odlomakpopisa">
    <w:name w:val="List Paragraph"/>
    <w:basedOn w:val="Normal"/>
    <w:uiPriority w:val="34"/>
    <w:qFormat/>
    <w:rsid w:val="00AF284E"/>
    <w:pPr>
      <w:ind w:left="720"/>
      <w:contextualSpacing/>
    </w:pPr>
  </w:style>
  <w:style w:type="table" w:styleId="Reetkatablice">
    <w:name w:val="Table Grid"/>
    <w:basedOn w:val="Obinatablica"/>
    <w:uiPriority w:val="59"/>
    <w:rsid w:val="00770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3"/>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DD5633"/>
    <w:pPr>
      <w:keepNext/>
      <w:numPr>
        <w:numId w:val="1"/>
      </w:numPr>
      <w:outlineLvl w:val="0"/>
    </w:pPr>
    <w:rPr>
      <w:b/>
      <w:bCs/>
      <w:u w:val="singl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D5633"/>
    <w:rPr>
      <w:rFonts w:ascii="Times New Roman" w:eastAsia="Times New Roman" w:hAnsi="Times New Roman" w:cs="Times New Roman"/>
      <w:b/>
      <w:bCs/>
      <w:sz w:val="24"/>
      <w:szCs w:val="24"/>
      <w:u w:val="single"/>
      <w:lang w:eastAsia="zh-CN"/>
    </w:rPr>
  </w:style>
  <w:style w:type="character" w:styleId="Hiperveza">
    <w:name w:val="Hyperlink"/>
    <w:rsid w:val="00DD5633"/>
    <w:rPr>
      <w:color w:val="0000FF"/>
      <w:u w:val="single"/>
    </w:rPr>
  </w:style>
  <w:style w:type="paragraph" w:customStyle="1" w:styleId="Heading">
    <w:name w:val="Heading"/>
    <w:basedOn w:val="Normal"/>
    <w:next w:val="Tijeloteksta"/>
    <w:rsid w:val="00DD5633"/>
    <w:pPr>
      <w:jc w:val="center"/>
    </w:pPr>
    <w:rPr>
      <w:b/>
      <w:bCs/>
    </w:rPr>
  </w:style>
  <w:style w:type="paragraph" w:customStyle="1" w:styleId="Standard">
    <w:name w:val="Standard"/>
    <w:rsid w:val="00DD5633"/>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Tijeloteksta">
    <w:name w:val="Body Text"/>
    <w:basedOn w:val="Normal"/>
    <w:link w:val="TijelotekstaChar"/>
    <w:uiPriority w:val="99"/>
    <w:semiHidden/>
    <w:unhideWhenUsed/>
    <w:rsid w:val="00DD5633"/>
    <w:pPr>
      <w:spacing w:after="120"/>
    </w:pPr>
  </w:style>
  <w:style w:type="character" w:customStyle="1" w:styleId="TijelotekstaChar">
    <w:name w:val="Tijelo teksta Char"/>
    <w:basedOn w:val="Zadanifontodlomka"/>
    <w:link w:val="Tijeloteksta"/>
    <w:uiPriority w:val="99"/>
    <w:semiHidden/>
    <w:rsid w:val="00DD5633"/>
    <w:rPr>
      <w:rFonts w:ascii="Times New Roman" w:eastAsia="Times New Roman" w:hAnsi="Times New Roman" w:cs="Times New Roman"/>
      <w:sz w:val="24"/>
      <w:szCs w:val="24"/>
      <w:lang w:eastAsia="zh-CN"/>
    </w:rPr>
  </w:style>
  <w:style w:type="paragraph" w:styleId="Zaglavlje">
    <w:name w:val="header"/>
    <w:basedOn w:val="Normal"/>
    <w:link w:val="ZaglavljeChar"/>
    <w:uiPriority w:val="99"/>
    <w:unhideWhenUsed/>
    <w:rsid w:val="00DD5633"/>
    <w:pPr>
      <w:tabs>
        <w:tab w:val="center" w:pos="4536"/>
        <w:tab w:val="right" w:pos="9072"/>
      </w:tabs>
    </w:pPr>
  </w:style>
  <w:style w:type="character" w:customStyle="1" w:styleId="ZaglavljeChar">
    <w:name w:val="Zaglavlje Char"/>
    <w:basedOn w:val="Zadanifontodlomka"/>
    <w:link w:val="Zaglavlje"/>
    <w:uiPriority w:val="99"/>
    <w:rsid w:val="00DD563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DD5633"/>
    <w:pPr>
      <w:tabs>
        <w:tab w:val="center" w:pos="4536"/>
        <w:tab w:val="right" w:pos="9072"/>
      </w:tabs>
    </w:pPr>
  </w:style>
  <w:style w:type="character" w:customStyle="1" w:styleId="PodnojeChar">
    <w:name w:val="Podnožje Char"/>
    <w:basedOn w:val="Zadanifontodlomka"/>
    <w:link w:val="Podnoje"/>
    <w:uiPriority w:val="99"/>
    <w:rsid w:val="00DD5633"/>
    <w:rPr>
      <w:rFonts w:ascii="Times New Roman" w:eastAsia="Times New Roman" w:hAnsi="Times New Roman" w:cs="Times New Roman"/>
      <w:sz w:val="24"/>
      <w:szCs w:val="24"/>
      <w:lang w:eastAsia="zh-CN"/>
    </w:rPr>
  </w:style>
  <w:style w:type="paragraph" w:styleId="Odlomakpopisa">
    <w:name w:val="List Paragraph"/>
    <w:basedOn w:val="Normal"/>
    <w:uiPriority w:val="34"/>
    <w:qFormat/>
    <w:rsid w:val="00AF284E"/>
    <w:pPr>
      <w:ind w:left="720"/>
      <w:contextualSpacing/>
    </w:pPr>
  </w:style>
  <w:style w:type="table" w:styleId="Reetkatablice">
    <w:name w:val="Table Grid"/>
    <w:basedOn w:val="Obinatablica"/>
    <w:uiPriority w:val="59"/>
    <w:rsid w:val="00770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9283">
      <w:bodyDiv w:val="1"/>
      <w:marLeft w:val="0"/>
      <w:marRight w:val="0"/>
      <w:marTop w:val="0"/>
      <w:marBottom w:val="0"/>
      <w:divBdr>
        <w:top w:val="none" w:sz="0" w:space="0" w:color="auto"/>
        <w:left w:val="none" w:sz="0" w:space="0" w:color="auto"/>
        <w:bottom w:val="none" w:sz="0" w:space="0" w:color="auto"/>
        <w:right w:val="none" w:sz="0" w:space="0" w:color="auto"/>
      </w:divBdr>
    </w:div>
    <w:div w:id="298846088">
      <w:bodyDiv w:val="1"/>
      <w:marLeft w:val="0"/>
      <w:marRight w:val="0"/>
      <w:marTop w:val="0"/>
      <w:marBottom w:val="0"/>
      <w:divBdr>
        <w:top w:val="none" w:sz="0" w:space="0" w:color="auto"/>
        <w:left w:val="none" w:sz="0" w:space="0" w:color="auto"/>
        <w:bottom w:val="none" w:sz="0" w:space="0" w:color="auto"/>
        <w:right w:val="none" w:sz="0" w:space="0" w:color="auto"/>
      </w:divBdr>
    </w:div>
    <w:div w:id="13194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radska.uprava@slatina.hr" TargetMode="External"/><Relationship Id="rId4" Type="http://schemas.microsoft.com/office/2007/relationships/stylesWithEffects" Target="stylesWithEffects.xml"/><Relationship Id="rId9" Type="http://schemas.openxmlformats.org/officeDocument/2006/relationships/hyperlink" Target="mailto:danijela.majacic@slat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C2E8-1F85-4E76-B985-C70EDE57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21</Pages>
  <Words>9947</Words>
  <Characters>56703</Characters>
  <Application>Microsoft Office Word</Application>
  <DocSecurity>0</DocSecurity>
  <Lines>472</Lines>
  <Paragraphs>133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Hudoletnjak</dc:creator>
  <cp:lastModifiedBy>Vesna Hudoletnjak</cp:lastModifiedBy>
  <cp:revision>12</cp:revision>
  <cp:lastPrinted>2018-02-28T12:10:00Z</cp:lastPrinted>
  <dcterms:created xsi:type="dcterms:W3CDTF">2018-02-27T13:29:00Z</dcterms:created>
  <dcterms:modified xsi:type="dcterms:W3CDTF">2018-02-28T12:18:00Z</dcterms:modified>
</cp:coreProperties>
</file>